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1C" w:rsidRPr="00A72E54" w:rsidRDefault="0086371C" w:rsidP="007A7039">
      <w:pPr>
        <w:tabs>
          <w:tab w:val="left" w:pos="426"/>
          <w:tab w:val="left" w:pos="993"/>
        </w:tabs>
        <w:ind w:left="3828"/>
        <w:jc w:val="right"/>
        <w:rPr>
          <w:i/>
          <w:sz w:val="24"/>
          <w:szCs w:val="24"/>
        </w:rPr>
      </w:pPr>
      <w:r w:rsidRPr="007D5709">
        <w:rPr>
          <w:i/>
          <w:sz w:val="24"/>
        </w:rPr>
        <w:t xml:space="preserve">Apstiprināti ar Dundagas novada pašvaldības Privatizācijas, </w:t>
      </w:r>
      <w:r w:rsidRPr="00A72E54">
        <w:rPr>
          <w:i/>
          <w:sz w:val="24"/>
        </w:rPr>
        <w:t>atsavināšanas un iznomāšanas komisijas</w:t>
      </w:r>
      <w:r w:rsidRPr="00A72E54">
        <w:rPr>
          <w:i/>
          <w:sz w:val="24"/>
          <w:szCs w:val="24"/>
        </w:rPr>
        <w:t xml:space="preserve"> </w:t>
      </w:r>
      <w:r w:rsidR="008F04A2" w:rsidRPr="00A72E54">
        <w:rPr>
          <w:i/>
          <w:sz w:val="24"/>
          <w:szCs w:val="24"/>
        </w:rPr>
        <w:t>2020</w:t>
      </w:r>
      <w:r w:rsidRPr="00A72E54">
        <w:rPr>
          <w:i/>
          <w:sz w:val="24"/>
          <w:szCs w:val="24"/>
        </w:rPr>
        <w:t xml:space="preserve">. gada </w:t>
      </w:r>
      <w:r w:rsidR="00A72E54" w:rsidRPr="00A72E54">
        <w:rPr>
          <w:i/>
          <w:sz w:val="24"/>
          <w:szCs w:val="24"/>
        </w:rPr>
        <w:t>28</w:t>
      </w:r>
      <w:r w:rsidR="004F25B9" w:rsidRPr="00A72E54">
        <w:rPr>
          <w:i/>
          <w:sz w:val="24"/>
          <w:szCs w:val="24"/>
        </w:rPr>
        <w:t>.</w:t>
      </w:r>
      <w:r w:rsidR="007F7DD6" w:rsidRPr="00A72E54">
        <w:rPr>
          <w:i/>
          <w:sz w:val="24"/>
          <w:szCs w:val="24"/>
        </w:rPr>
        <w:t>jūlija</w:t>
      </w:r>
      <w:r w:rsidRPr="00A72E54">
        <w:rPr>
          <w:i/>
          <w:sz w:val="24"/>
          <w:szCs w:val="24"/>
        </w:rPr>
        <w:t xml:space="preserve"> sēdes </w:t>
      </w:r>
    </w:p>
    <w:p w:rsidR="0086371C" w:rsidRDefault="0086371C" w:rsidP="007A7039">
      <w:pPr>
        <w:tabs>
          <w:tab w:val="left" w:pos="426"/>
          <w:tab w:val="left" w:pos="993"/>
        </w:tabs>
        <w:ind w:left="3828"/>
        <w:jc w:val="right"/>
        <w:rPr>
          <w:i/>
          <w:sz w:val="24"/>
          <w:szCs w:val="24"/>
        </w:rPr>
      </w:pPr>
      <w:r w:rsidRPr="00A72E54">
        <w:rPr>
          <w:i/>
          <w:sz w:val="24"/>
          <w:szCs w:val="24"/>
        </w:rPr>
        <w:t xml:space="preserve">lēmumu (prot. </w:t>
      </w:r>
      <w:r w:rsidR="004F25B9" w:rsidRPr="00A72E54">
        <w:rPr>
          <w:i/>
          <w:sz w:val="24"/>
          <w:szCs w:val="24"/>
        </w:rPr>
        <w:t>N</w:t>
      </w:r>
      <w:r w:rsidRPr="00A72E54">
        <w:rPr>
          <w:i/>
          <w:sz w:val="24"/>
          <w:szCs w:val="24"/>
        </w:rPr>
        <w:t>r. </w:t>
      </w:r>
      <w:r w:rsidR="00A72E54" w:rsidRPr="00A72E54">
        <w:rPr>
          <w:i/>
          <w:sz w:val="24"/>
          <w:szCs w:val="24"/>
        </w:rPr>
        <w:t>12</w:t>
      </w:r>
      <w:r w:rsidRPr="00A72E54">
        <w:rPr>
          <w:i/>
          <w:sz w:val="24"/>
          <w:szCs w:val="24"/>
        </w:rPr>
        <w:t>. p .</w:t>
      </w:r>
      <w:r w:rsidR="00A72E54" w:rsidRPr="00A72E54">
        <w:rPr>
          <w:i/>
          <w:sz w:val="24"/>
          <w:szCs w:val="24"/>
        </w:rPr>
        <w:t>1</w:t>
      </w:r>
      <w:r w:rsidRPr="00A72E54">
        <w:rPr>
          <w:i/>
          <w:sz w:val="24"/>
          <w:szCs w:val="24"/>
        </w:rPr>
        <w:t>.)</w:t>
      </w:r>
    </w:p>
    <w:p w:rsidR="0086371C" w:rsidRDefault="0086371C" w:rsidP="00190C4A">
      <w:pPr>
        <w:pStyle w:val="Default"/>
        <w:tabs>
          <w:tab w:val="left" w:pos="426"/>
          <w:tab w:val="left" w:pos="993"/>
        </w:tabs>
        <w:jc w:val="both"/>
        <w:rPr>
          <w:b/>
          <w:sz w:val="28"/>
          <w:szCs w:val="28"/>
        </w:rPr>
      </w:pPr>
    </w:p>
    <w:p w:rsidR="0086371C" w:rsidRDefault="0086371C" w:rsidP="00190C4A">
      <w:pPr>
        <w:pStyle w:val="Default"/>
        <w:tabs>
          <w:tab w:val="left" w:pos="426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Dundagas novada pašvaldības kustamās mantas –</w:t>
      </w:r>
    </w:p>
    <w:p w:rsidR="0086371C" w:rsidRDefault="00887816" w:rsidP="00190C4A">
      <w:pPr>
        <w:pStyle w:val="Default"/>
        <w:tabs>
          <w:tab w:val="left" w:pos="426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automašīnas</w:t>
      </w:r>
      <w:r w:rsidR="0086371C">
        <w:rPr>
          <w:b/>
          <w:sz w:val="28"/>
          <w:szCs w:val="28"/>
        </w:rPr>
        <w:t xml:space="preserve"> </w:t>
      </w:r>
      <w:r w:rsidR="008F04A2">
        <w:rPr>
          <w:b/>
          <w:sz w:val="28"/>
          <w:szCs w:val="28"/>
        </w:rPr>
        <w:t>HONDA CRV</w:t>
      </w:r>
      <w:r w:rsidR="00C77C52">
        <w:rPr>
          <w:b/>
          <w:sz w:val="28"/>
          <w:szCs w:val="28"/>
        </w:rPr>
        <w:t xml:space="preserve"> –</w:t>
      </w:r>
      <w:r w:rsidR="0086371C">
        <w:rPr>
          <w:b/>
          <w:sz w:val="28"/>
          <w:szCs w:val="28"/>
        </w:rPr>
        <w:t xml:space="preserve"> izsoles noteikumi</w:t>
      </w:r>
    </w:p>
    <w:p w:rsidR="0086371C" w:rsidRDefault="0086371C" w:rsidP="00190C4A">
      <w:pPr>
        <w:tabs>
          <w:tab w:val="left" w:pos="426"/>
          <w:tab w:val="left" w:pos="993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</w:p>
    <w:p w:rsidR="0086371C" w:rsidRPr="007D5709" w:rsidRDefault="0086371C" w:rsidP="007A7039">
      <w:pPr>
        <w:ind w:left="4678"/>
        <w:jc w:val="right"/>
        <w:rPr>
          <w:i/>
          <w:sz w:val="24"/>
          <w:szCs w:val="24"/>
        </w:rPr>
      </w:pPr>
      <w:r w:rsidRPr="007D5709">
        <w:rPr>
          <w:i/>
          <w:sz w:val="24"/>
          <w:szCs w:val="24"/>
        </w:rPr>
        <w:t xml:space="preserve">Izdoti saskaņā ar Publiskas personas </w:t>
      </w:r>
    </w:p>
    <w:p w:rsidR="0086371C" w:rsidRDefault="0086371C" w:rsidP="007A7039">
      <w:pPr>
        <w:ind w:left="467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Pr="007D5709">
        <w:rPr>
          <w:i/>
          <w:sz w:val="24"/>
          <w:szCs w:val="24"/>
        </w:rPr>
        <w:t>antas</w:t>
      </w:r>
      <w:r>
        <w:rPr>
          <w:i/>
          <w:sz w:val="24"/>
          <w:szCs w:val="24"/>
        </w:rPr>
        <w:t> </w:t>
      </w:r>
      <w:r w:rsidRPr="007D5709">
        <w:rPr>
          <w:i/>
          <w:sz w:val="24"/>
          <w:szCs w:val="24"/>
        </w:rPr>
        <w:t>atsavināšanas likuma II nodaļu</w:t>
      </w:r>
    </w:p>
    <w:p w:rsidR="0086371C" w:rsidRPr="0086371C" w:rsidRDefault="0086371C" w:rsidP="00190C4A">
      <w:pPr>
        <w:ind w:left="4678"/>
        <w:jc w:val="both"/>
        <w:rPr>
          <w:sz w:val="24"/>
          <w:szCs w:val="24"/>
        </w:rPr>
      </w:pPr>
    </w:p>
    <w:p w:rsidR="0086371C" w:rsidRPr="0086371C" w:rsidRDefault="00847204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86371C" w:rsidRPr="0086371C">
        <w:rPr>
          <w:b/>
          <w:bCs/>
          <w:sz w:val="24"/>
          <w:szCs w:val="24"/>
        </w:rPr>
        <w:t xml:space="preserve"> Vispār</w:t>
      </w:r>
      <w:r>
        <w:rPr>
          <w:b/>
          <w:bCs/>
          <w:sz w:val="24"/>
          <w:szCs w:val="24"/>
        </w:rPr>
        <w:t>īgie</w:t>
      </w:r>
      <w:r w:rsidR="0086371C" w:rsidRPr="0086371C">
        <w:rPr>
          <w:b/>
          <w:bCs/>
          <w:sz w:val="24"/>
          <w:szCs w:val="24"/>
        </w:rPr>
        <w:t xml:space="preserve"> noteikumi</w:t>
      </w:r>
    </w:p>
    <w:p w:rsidR="00847204" w:rsidRDefault="0084720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 w:rsidRPr="00081309">
        <w:rPr>
          <w:b/>
          <w:iCs/>
          <w:sz w:val="24"/>
          <w:szCs w:val="24"/>
          <w:lang w:val="lv-LV"/>
        </w:rPr>
        <w:t>1.</w:t>
      </w:r>
      <w:r>
        <w:rPr>
          <w:iCs/>
          <w:sz w:val="24"/>
          <w:szCs w:val="24"/>
          <w:lang w:val="lv-LV"/>
        </w:rPr>
        <w:t xml:space="preserve"> Izsoles noteikumi nosaka kārtību, kādā tiek organizēta Dundagas novada pašvaldības (turpmāk – Pašvaldība) kustamās mantas – </w:t>
      </w:r>
      <w:r w:rsidR="00887816">
        <w:rPr>
          <w:b/>
          <w:iCs/>
          <w:sz w:val="24"/>
          <w:szCs w:val="24"/>
          <w:lang w:val="lv-LV"/>
        </w:rPr>
        <w:t>automašīnas</w:t>
      </w:r>
      <w:r w:rsidRPr="007C4379">
        <w:rPr>
          <w:b/>
          <w:iCs/>
          <w:sz w:val="24"/>
          <w:szCs w:val="24"/>
          <w:lang w:val="lv-LV"/>
        </w:rPr>
        <w:t xml:space="preserve"> </w:t>
      </w:r>
      <w:r w:rsidR="008F04A2">
        <w:rPr>
          <w:b/>
          <w:iCs/>
          <w:sz w:val="24"/>
          <w:szCs w:val="24"/>
          <w:lang w:val="lv-LV"/>
        </w:rPr>
        <w:t>HONDA CRV</w:t>
      </w:r>
      <w:r>
        <w:rPr>
          <w:b/>
          <w:sz w:val="28"/>
          <w:szCs w:val="28"/>
        </w:rPr>
        <w:t xml:space="preserve"> </w:t>
      </w:r>
      <w:r>
        <w:rPr>
          <w:iCs/>
          <w:sz w:val="24"/>
          <w:szCs w:val="24"/>
          <w:lang w:val="lv-LV"/>
        </w:rPr>
        <w:t xml:space="preserve">(turpmāk arī </w:t>
      </w:r>
      <w:r w:rsidR="00887816">
        <w:rPr>
          <w:iCs/>
          <w:sz w:val="24"/>
          <w:szCs w:val="24"/>
          <w:lang w:val="lv-LV"/>
        </w:rPr>
        <w:t>automašīna</w:t>
      </w:r>
      <w:r>
        <w:rPr>
          <w:iCs/>
          <w:sz w:val="24"/>
          <w:szCs w:val="24"/>
          <w:lang w:val="lv-LV"/>
        </w:rPr>
        <w:t xml:space="preserve">) </w:t>
      </w:r>
      <w:r w:rsidR="00980593">
        <w:rPr>
          <w:iCs/>
          <w:sz w:val="24"/>
          <w:szCs w:val="24"/>
          <w:lang w:val="lv-LV"/>
        </w:rPr>
        <w:t xml:space="preserve">– </w:t>
      </w:r>
      <w:r>
        <w:rPr>
          <w:iCs/>
          <w:sz w:val="24"/>
          <w:szCs w:val="24"/>
          <w:lang w:val="lv-LV"/>
        </w:rPr>
        <w:t>pārdošana izsolē saskaņā ar Publiskas personas mantas atsavināšanas likumu.</w:t>
      </w:r>
    </w:p>
    <w:p w:rsidR="00847204" w:rsidRDefault="00847204" w:rsidP="00190C4A">
      <w:pPr>
        <w:jc w:val="both"/>
        <w:rPr>
          <w:sz w:val="24"/>
        </w:rPr>
      </w:pPr>
      <w:r w:rsidRPr="00081309"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> </w:t>
      </w:r>
      <w:r>
        <w:rPr>
          <w:rFonts w:ascii="TimesNewRomanPSMT" w:eastAsia="TimesNewRomanPS-BoldMT" w:hAnsi="TimesNewRomanPSMT"/>
          <w:b/>
          <w:bCs/>
          <w:sz w:val="24"/>
          <w:szCs w:val="24"/>
          <w:lang w:eastAsia="en-US"/>
        </w:rPr>
        <w:t>Izsoles organizētājs: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>
        <w:rPr>
          <w:sz w:val="24"/>
        </w:rPr>
        <w:t>Pašvaldības Privatizācijas, atsavināšanas un iznomāšanas komisija (turpmāk</w:t>
      </w:r>
      <w:r w:rsidR="00A74B48">
        <w:rPr>
          <w:sz w:val="24"/>
        </w:rPr>
        <w:t xml:space="preserve"> </w:t>
      </w:r>
      <w:r>
        <w:rPr>
          <w:sz w:val="24"/>
        </w:rPr>
        <w:t>– Komisija).</w:t>
      </w:r>
    </w:p>
    <w:p w:rsidR="00486AF3" w:rsidRDefault="00486AF3" w:rsidP="00190C4A">
      <w:pPr>
        <w:jc w:val="both"/>
        <w:rPr>
          <w:sz w:val="24"/>
          <w:szCs w:val="24"/>
        </w:rPr>
      </w:pPr>
      <w:r w:rsidRPr="00D32C9E">
        <w:rPr>
          <w:b/>
          <w:sz w:val="24"/>
        </w:rPr>
        <w:t>3.</w:t>
      </w:r>
      <w:r w:rsidR="00A74B48">
        <w:rPr>
          <w:sz w:val="24"/>
        </w:rPr>
        <w:t xml:space="preserve"> </w:t>
      </w:r>
      <w:r w:rsidR="00A74B48" w:rsidRPr="00A74B48">
        <w:rPr>
          <w:b/>
          <w:sz w:val="24"/>
        </w:rPr>
        <w:t>Izsoles vadītājs:</w:t>
      </w:r>
      <w:r>
        <w:rPr>
          <w:sz w:val="24"/>
        </w:rPr>
        <w:t xml:space="preserve"> Komisijas priekšsēdētājs.</w:t>
      </w:r>
    </w:p>
    <w:p w:rsidR="00847204" w:rsidRPr="00081309" w:rsidRDefault="00D32C9E" w:rsidP="00190C4A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b/>
          <w:sz w:val="24"/>
          <w:szCs w:val="24"/>
        </w:rPr>
        <w:t>4</w:t>
      </w:r>
      <w:r w:rsidR="00847204" w:rsidRPr="00D62625">
        <w:rPr>
          <w:b/>
          <w:sz w:val="24"/>
          <w:szCs w:val="24"/>
        </w:rPr>
        <w:t>. Izsoles veids:</w:t>
      </w:r>
      <w:r w:rsidR="00847204">
        <w:rPr>
          <w:sz w:val="24"/>
          <w:szCs w:val="24"/>
        </w:rPr>
        <w:t xml:space="preserve"> rakstiska izsole.</w:t>
      </w:r>
    </w:p>
    <w:p w:rsidR="0086371C" w:rsidRPr="0086371C" w:rsidRDefault="00847204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 Informācija par kustamo mantu</w:t>
      </w:r>
    </w:p>
    <w:p w:rsidR="00847204" w:rsidRDefault="008B6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5</w:t>
      </w:r>
      <w:r w:rsidR="00847204" w:rsidRPr="00081309">
        <w:rPr>
          <w:b/>
          <w:iCs/>
          <w:sz w:val="24"/>
          <w:szCs w:val="24"/>
          <w:lang w:val="lv-LV"/>
        </w:rPr>
        <w:t>. Izsoles objekt</w:t>
      </w:r>
      <w:r w:rsidR="00847204">
        <w:rPr>
          <w:b/>
          <w:iCs/>
          <w:sz w:val="24"/>
          <w:szCs w:val="24"/>
          <w:lang w:val="lv-LV"/>
        </w:rPr>
        <w:t>s</w:t>
      </w:r>
      <w:r w:rsidR="00847204" w:rsidRPr="00081309">
        <w:rPr>
          <w:b/>
          <w:iCs/>
          <w:sz w:val="24"/>
          <w:szCs w:val="24"/>
          <w:lang w:val="lv-LV"/>
        </w:rPr>
        <w:t>:</w:t>
      </w:r>
      <w:r w:rsidR="00847204">
        <w:rPr>
          <w:iCs/>
          <w:sz w:val="24"/>
          <w:szCs w:val="24"/>
          <w:lang w:val="lv-LV"/>
        </w:rPr>
        <w:t xml:space="preserve"> Pašvaldības kustamā manta – </w:t>
      </w:r>
      <w:r w:rsidR="00887816">
        <w:rPr>
          <w:iCs/>
          <w:sz w:val="24"/>
          <w:szCs w:val="24"/>
          <w:lang w:val="lv-LV"/>
        </w:rPr>
        <w:t>automašīna</w:t>
      </w:r>
      <w:r w:rsidR="00847204">
        <w:rPr>
          <w:iCs/>
          <w:sz w:val="24"/>
          <w:szCs w:val="24"/>
          <w:lang w:val="lv-LV"/>
        </w:rPr>
        <w:t xml:space="preserve"> </w:t>
      </w:r>
      <w:r w:rsidR="008F04A2">
        <w:rPr>
          <w:b/>
          <w:iCs/>
          <w:sz w:val="24"/>
          <w:szCs w:val="24"/>
          <w:lang w:val="lv-LV"/>
        </w:rPr>
        <w:t>HONDA CRV</w:t>
      </w:r>
      <w:r w:rsidR="00847204">
        <w:rPr>
          <w:iCs/>
          <w:sz w:val="24"/>
          <w:szCs w:val="24"/>
          <w:lang w:val="lv-LV"/>
        </w:rPr>
        <w:t xml:space="preserve">, reģistrācijas numurs </w:t>
      </w:r>
      <w:r w:rsidR="008F04A2">
        <w:rPr>
          <w:iCs/>
          <w:sz w:val="24"/>
          <w:szCs w:val="24"/>
          <w:lang w:val="lv-LV"/>
        </w:rPr>
        <w:t>GP4090</w:t>
      </w:r>
      <w:r w:rsidR="00847204">
        <w:rPr>
          <w:iCs/>
          <w:sz w:val="24"/>
          <w:szCs w:val="24"/>
          <w:lang w:val="lv-LV"/>
        </w:rPr>
        <w:t xml:space="preserve">, </w:t>
      </w:r>
      <w:r w:rsidR="003009EC">
        <w:rPr>
          <w:iCs/>
          <w:sz w:val="24"/>
          <w:szCs w:val="24"/>
          <w:lang w:val="lv-LV"/>
        </w:rPr>
        <w:t>šasijas</w:t>
      </w:r>
      <w:r w:rsidR="00847204">
        <w:rPr>
          <w:iCs/>
          <w:sz w:val="24"/>
          <w:szCs w:val="24"/>
          <w:lang w:val="lv-LV"/>
        </w:rPr>
        <w:t xml:space="preserve"> numurs </w:t>
      </w:r>
      <w:r w:rsidR="008F04A2">
        <w:rPr>
          <w:iCs/>
          <w:sz w:val="24"/>
          <w:szCs w:val="24"/>
          <w:lang w:val="lv-LV"/>
        </w:rPr>
        <w:t>SHSRE57507U022728</w:t>
      </w:r>
      <w:r w:rsidR="00847204">
        <w:rPr>
          <w:iCs/>
          <w:sz w:val="24"/>
          <w:szCs w:val="24"/>
          <w:lang w:val="lv-LV"/>
        </w:rPr>
        <w:t>,</w:t>
      </w:r>
      <w:r w:rsidR="003009EC" w:rsidRPr="003009EC">
        <w:rPr>
          <w:iCs/>
          <w:sz w:val="24"/>
          <w:szCs w:val="24"/>
          <w:lang w:val="lv-LV"/>
        </w:rPr>
        <w:t xml:space="preserve"> </w:t>
      </w:r>
      <w:r w:rsidR="003009EC">
        <w:rPr>
          <w:iCs/>
          <w:sz w:val="24"/>
          <w:szCs w:val="24"/>
          <w:lang w:val="lv-LV"/>
        </w:rPr>
        <w:t xml:space="preserve">pirmā reģistrācija – </w:t>
      </w:r>
      <w:r w:rsidR="00832AFD">
        <w:rPr>
          <w:iCs/>
          <w:sz w:val="24"/>
          <w:szCs w:val="24"/>
          <w:lang w:val="lv-LV"/>
        </w:rPr>
        <w:t>29.06.2007</w:t>
      </w:r>
      <w:r w:rsidR="003009EC">
        <w:rPr>
          <w:iCs/>
          <w:sz w:val="24"/>
          <w:szCs w:val="24"/>
          <w:lang w:val="lv-LV"/>
        </w:rPr>
        <w:t>.</w:t>
      </w:r>
      <w:r w:rsidR="00847204">
        <w:rPr>
          <w:iCs/>
          <w:sz w:val="24"/>
          <w:szCs w:val="24"/>
          <w:lang w:val="lv-LV"/>
        </w:rPr>
        <w:t xml:space="preserve">, </w:t>
      </w:r>
      <w:r w:rsidR="00CD6123">
        <w:rPr>
          <w:iCs/>
          <w:sz w:val="24"/>
          <w:szCs w:val="24"/>
          <w:lang w:val="lv-LV"/>
        </w:rPr>
        <w:t xml:space="preserve">motora </w:t>
      </w:r>
      <w:r w:rsidR="00832AFD">
        <w:rPr>
          <w:iCs/>
          <w:sz w:val="24"/>
          <w:szCs w:val="24"/>
          <w:lang w:val="lv-LV"/>
        </w:rPr>
        <w:t>maks</w:t>
      </w:r>
      <w:r w:rsidR="003435C5">
        <w:rPr>
          <w:iCs/>
          <w:sz w:val="24"/>
          <w:szCs w:val="24"/>
          <w:lang w:val="lv-LV"/>
        </w:rPr>
        <w:t xml:space="preserve">imālā </w:t>
      </w:r>
      <w:r w:rsidR="00832AFD">
        <w:rPr>
          <w:iCs/>
          <w:sz w:val="24"/>
          <w:szCs w:val="24"/>
          <w:lang w:val="lv-LV"/>
        </w:rPr>
        <w:t>jauda</w:t>
      </w:r>
      <w:r w:rsidR="00CD6123">
        <w:rPr>
          <w:iCs/>
          <w:sz w:val="24"/>
          <w:szCs w:val="24"/>
          <w:lang w:val="lv-LV"/>
        </w:rPr>
        <w:t xml:space="preserve"> </w:t>
      </w:r>
      <w:r w:rsidR="00832AFD">
        <w:rPr>
          <w:iCs/>
          <w:sz w:val="24"/>
          <w:szCs w:val="24"/>
          <w:lang w:val="lv-LV"/>
        </w:rPr>
        <w:t>kW</w:t>
      </w:r>
      <w:r w:rsidR="00CD6123">
        <w:rPr>
          <w:iCs/>
          <w:sz w:val="24"/>
          <w:szCs w:val="24"/>
          <w:lang w:val="lv-LV"/>
        </w:rPr>
        <w:t xml:space="preserve">– </w:t>
      </w:r>
      <w:r w:rsidR="00832AFD">
        <w:rPr>
          <w:iCs/>
          <w:sz w:val="24"/>
          <w:szCs w:val="24"/>
          <w:lang w:val="lv-LV"/>
        </w:rPr>
        <w:t>110</w:t>
      </w:r>
      <w:r w:rsidR="00CD6123">
        <w:rPr>
          <w:iCs/>
          <w:sz w:val="24"/>
          <w:szCs w:val="24"/>
          <w:lang w:val="lv-LV"/>
        </w:rPr>
        <w:t xml:space="preserve">, </w:t>
      </w:r>
      <w:r w:rsidR="00847204">
        <w:rPr>
          <w:iCs/>
          <w:sz w:val="24"/>
          <w:szCs w:val="24"/>
          <w:lang w:val="lv-LV"/>
        </w:rPr>
        <w:t xml:space="preserve">pilna masa – </w:t>
      </w:r>
      <w:r w:rsidR="00832AFD">
        <w:rPr>
          <w:iCs/>
          <w:sz w:val="24"/>
          <w:szCs w:val="24"/>
          <w:lang w:val="lv-LV"/>
        </w:rPr>
        <w:t>2050</w:t>
      </w:r>
      <w:r w:rsidR="00847204">
        <w:rPr>
          <w:iCs/>
          <w:sz w:val="24"/>
          <w:szCs w:val="24"/>
          <w:lang w:val="lv-LV"/>
        </w:rPr>
        <w:t xml:space="preserve"> kg, </w:t>
      </w:r>
      <w:r w:rsidR="00CD6123">
        <w:rPr>
          <w:iCs/>
          <w:sz w:val="24"/>
          <w:szCs w:val="24"/>
          <w:lang w:val="lv-LV"/>
        </w:rPr>
        <w:t>degvielas tips</w:t>
      </w:r>
      <w:r w:rsidR="00847204">
        <w:rPr>
          <w:iCs/>
          <w:sz w:val="24"/>
          <w:szCs w:val="24"/>
          <w:lang w:val="lv-LV"/>
        </w:rPr>
        <w:t xml:space="preserve"> – </w:t>
      </w:r>
      <w:r w:rsidR="00CD6123" w:rsidRPr="00832AFD">
        <w:rPr>
          <w:iCs/>
          <w:sz w:val="24"/>
          <w:szCs w:val="24"/>
          <w:lang w:val="lv-LV"/>
        </w:rPr>
        <w:t>benzīns</w:t>
      </w:r>
      <w:r w:rsidR="00847204">
        <w:rPr>
          <w:iCs/>
          <w:sz w:val="24"/>
          <w:szCs w:val="24"/>
          <w:lang w:val="lv-LV"/>
        </w:rPr>
        <w:t xml:space="preserve">, krāsa – </w:t>
      </w:r>
      <w:r w:rsidR="00CD6123" w:rsidRPr="00832AFD">
        <w:rPr>
          <w:iCs/>
          <w:sz w:val="24"/>
          <w:szCs w:val="24"/>
          <w:lang w:val="lv-LV"/>
        </w:rPr>
        <w:t>gaiši pelēka, veids – vieglais pasažieru</w:t>
      </w:r>
      <w:r w:rsidR="00CD6123">
        <w:rPr>
          <w:iCs/>
          <w:sz w:val="24"/>
          <w:szCs w:val="24"/>
          <w:lang w:val="lv-LV"/>
        </w:rPr>
        <w:t xml:space="preserve">, nobraukums – </w:t>
      </w:r>
      <w:r w:rsidR="002E5E77">
        <w:rPr>
          <w:iCs/>
          <w:sz w:val="24"/>
          <w:szCs w:val="24"/>
          <w:lang w:val="lv-LV"/>
        </w:rPr>
        <w:t>287238</w:t>
      </w:r>
      <w:r w:rsidR="003F19B2">
        <w:rPr>
          <w:iCs/>
          <w:sz w:val="24"/>
          <w:szCs w:val="24"/>
          <w:lang w:val="lv-LV"/>
        </w:rPr>
        <w:t xml:space="preserve"> km</w:t>
      </w:r>
      <w:r w:rsidR="00847204">
        <w:rPr>
          <w:iCs/>
          <w:sz w:val="24"/>
          <w:szCs w:val="24"/>
          <w:lang w:val="lv-LV"/>
        </w:rPr>
        <w:t xml:space="preserve">. </w:t>
      </w:r>
      <w:r w:rsidR="002E5E77">
        <w:rPr>
          <w:iCs/>
          <w:sz w:val="24"/>
          <w:szCs w:val="24"/>
          <w:lang w:val="lv-LV"/>
        </w:rPr>
        <w:t>Te</w:t>
      </w:r>
      <w:r w:rsidR="00847204" w:rsidRPr="00832AFD">
        <w:rPr>
          <w:iCs/>
          <w:sz w:val="24"/>
          <w:szCs w:val="24"/>
          <w:lang w:val="lv-LV"/>
        </w:rPr>
        <w:t>hniskā apskate</w:t>
      </w:r>
      <w:r w:rsidR="002E5E77">
        <w:rPr>
          <w:iCs/>
          <w:sz w:val="24"/>
          <w:szCs w:val="24"/>
          <w:lang w:val="lv-LV"/>
        </w:rPr>
        <w:t xml:space="preserve"> derīga līdz 07.12.2020.</w:t>
      </w:r>
    </w:p>
    <w:p w:rsidR="00847204" w:rsidRDefault="00B30381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iCs/>
          <w:sz w:val="24"/>
          <w:szCs w:val="24"/>
          <w:lang w:val="lv-LV"/>
        </w:rPr>
        <w:t>Automašīnu</w:t>
      </w:r>
      <w:r w:rsidR="00847204">
        <w:rPr>
          <w:iCs/>
          <w:sz w:val="24"/>
          <w:szCs w:val="24"/>
          <w:lang w:val="lv-LV"/>
        </w:rPr>
        <w:t xml:space="preserve"> var apskatīt, iepriekš vienojoties pa tālruni </w:t>
      </w:r>
      <w:r w:rsidR="00022779" w:rsidRPr="00022779">
        <w:rPr>
          <w:sz w:val="24"/>
          <w:szCs w:val="24"/>
        </w:rPr>
        <w:t>26563742</w:t>
      </w:r>
      <w:r w:rsidR="00022779">
        <w:t xml:space="preserve"> (</w:t>
      </w:r>
      <w:r w:rsidR="00022779">
        <w:rPr>
          <w:iCs/>
          <w:sz w:val="24"/>
          <w:szCs w:val="24"/>
          <w:lang w:val="lv-LV"/>
        </w:rPr>
        <w:t xml:space="preserve">Andris </w:t>
      </w:r>
      <w:proofErr w:type="spellStart"/>
      <w:r w:rsidR="00022779">
        <w:rPr>
          <w:iCs/>
          <w:sz w:val="24"/>
          <w:szCs w:val="24"/>
          <w:lang w:val="lv-LV"/>
        </w:rPr>
        <w:t>Kojro</w:t>
      </w:r>
      <w:proofErr w:type="spellEnd"/>
      <w:r w:rsidR="00847204">
        <w:rPr>
          <w:iCs/>
          <w:sz w:val="24"/>
          <w:szCs w:val="24"/>
          <w:lang w:val="lv-LV"/>
        </w:rPr>
        <w:t>).</w:t>
      </w:r>
    </w:p>
    <w:p w:rsidR="00B30381" w:rsidRDefault="008B6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6</w:t>
      </w:r>
      <w:r w:rsidR="00847204" w:rsidRPr="00886C15">
        <w:rPr>
          <w:b/>
          <w:iCs/>
          <w:sz w:val="24"/>
          <w:szCs w:val="24"/>
          <w:lang w:val="lv-LV"/>
        </w:rPr>
        <w:t>. </w:t>
      </w:r>
      <w:r w:rsidR="0058387D">
        <w:rPr>
          <w:b/>
          <w:iCs/>
          <w:sz w:val="24"/>
          <w:szCs w:val="24"/>
          <w:lang w:val="lv-LV"/>
        </w:rPr>
        <w:t>Sākuma</w:t>
      </w:r>
      <w:r w:rsidR="00847204">
        <w:rPr>
          <w:b/>
          <w:iCs/>
          <w:sz w:val="24"/>
          <w:szCs w:val="24"/>
          <w:lang w:val="lv-LV"/>
        </w:rPr>
        <w:t xml:space="preserve"> cena</w:t>
      </w:r>
      <w:r w:rsidR="00C20D7C">
        <w:rPr>
          <w:b/>
          <w:iCs/>
          <w:sz w:val="24"/>
          <w:szCs w:val="24"/>
          <w:lang w:val="lv-LV"/>
        </w:rPr>
        <w:t xml:space="preserve"> un</w:t>
      </w:r>
      <w:r w:rsidR="00847204">
        <w:rPr>
          <w:b/>
          <w:iCs/>
          <w:sz w:val="24"/>
          <w:szCs w:val="24"/>
          <w:lang w:val="lv-LV"/>
        </w:rPr>
        <w:t xml:space="preserve"> nodrošinājuma nauda</w:t>
      </w:r>
      <w:r w:rsidR="00847204" w:rsidRPr="00886C15">
        <w:rPr>
          <w:b/>
          <w:iCs/>
          <w:sz w:val="24"/>
          <w:szCs w:val="24"/>
          <w:lang w:val="lv-LV"/>
        </w:rPr>
        <w:t>:</w:t>
      </w:r>
      <w:r w:rsidR="00847204">
        <w:rPr>
          <w:iCs/>
          <w:sz w:val="24"/>
          <w:szCs w:val="24"/>
          <w:lang w:val="lv-LV"/>
        </w:rPr>
        <w:t xml:space="preserve"> </w:t>
      </w:r>
      <w:r w:rsidR="00B30381">
        <w:rPr>
          <w:iCs/>
          <w:sz w:val="24"/>
          <w:szCs w:val="24"/>
          <w:lang w:val="lv-LV"/>
        </w:rPr>
        <w:t>automa</w:t>
      </w:r>
      <w:r w:rsidR="0058387D">
        <w:rPr>
          <w:iCs/>
          <w:sz w:val="24"/>
          <w:szCs w:val="24"/>
          <w:lang w:val="lv-LV"/>
        </w:rPr>
        <w:t xml:space="preserve">šīnas izsoles sākuma cena </w:t>
      </w:r>
      <w:r w:rsidR="0058387D" w:rsidRPr="00A72E54">
        <w:rPr>
          <w:iCs/>
          <w:sz w:val="24"/>
          <w:szCs w:val="24"/>
          <w:lang w:val="lv-LV"/>
        </w:rPr>
        <w:t xml:space="preserve">ir </w:t>
      </w:r>
      <w:r w:rsidR="007F7DD6" w:rsidRPr="00A72E54">
        <w:rPr>
          <w:iCs/>
          <w:sz w:val="24"/>
          <w:szCs w:val="24"/>
          <w:lang w:val="lv-LV"/>
        </w:rPr>
        <w:t>3600</w:t>
      </w:r>
      <w:r w:rsidR="00A72E54" w:rsidRPr="00A72E54">
        <w:rPr>
          <w:iCs/>
          <w:sz w:val="24"/>
          <w:szCs w:val="24"/>
          <w:lang w:val="lv-LV"/>
        </w:rPr>
        <w:t xml:space="preserve"> </w:t>
      </w:r>
      <w:r w:rsidR="00A72E54" w:rsidRPr="00A72E54">
        <w:rPr>
          <w:iCs/>
          <w:sz w:val="24"/>
          <w:szCs w:val="24"/>
        </w:rPr>
        <w:t>€</w:t>
      </w:r>
      <w:r w:rsidR="00B30381" w:rsidRPr="00A72E54">
        <w:rPr>
          <w:iCs/>
          <w:sz w:val="24"/>
          <w:szCs w:val="24"/>
          <w:lang w:val="lv-LV"/>
        </w:rPr>
        <w:t xml:space="preserve"> </w:t>
      </w:r>
      <w:r w:rsidR="001D1FDE" w:rsidRPr="00A72E54">
        <w:rPr>
          <w:iCs/>
          <w:sz w:val="24"/>
          <w:szCs w:val="24"/>
          <w:lang w:val="lv-LV"/>
        </w:rPr>
        <w:t>tai</w:t>
      </w:r>
      <w:r w:rsidR="001D1FDE">
        <w:rPr>
          <w:iCs/>
          <w:sz w:val="24"/>
          <w:szCs w:val="24"/>
          <w:lang w:val="lv-LV"/>
        </w:rPr>
        <w:t xml:space="preserve"> skaitā</w:t>
      </w:r>
      <w:r w:rsidR="00B30381" w:rsidRPr="00BE7F5E">
        <w:rPr>
          <w:iCs/>
          <w:sz w:val="24"/>
          <w:szCs w:val="24"/>
          <w:lang w:val="lv-LV"/>
        </w:rPr>
        <w:t xml:space="preserve"> PVN</w:t>
      </w:r>
      <w:r w:rsidR="00B30381">
        <w:rPr>
          <w:iCs/>
          <w:sz w:val="24"/>
          <w:szCs w:val="24"/>
          <w:lang w:val="lv-LV"/>
        </w:rPr>
        <w:t xml:space="preserve">, nodrošinājuma summa ir </w:t>
      </w:r>
      <w:r w:rsidR="008F04A2">
        <w:rPr>
          <w:iCs/>
          <w:sz w:val="24"/>
          <w:szCs w:val="24"/>
          <w:lang w:val="lv-LV"/>
        </w:rPr>
        <w:t>10</w:t>
      </w:r>
      <w:r w:rsidR="00B30381">
        <w:rPr>
          <w:iCs/>
          <w:sz w:val="24"/>
          <w:szCs w:val="24"/>
          <w:lang w:val="lv-LV"/>
        </w:rPr>
        <w:t>% no automašīn</w:t>
      </w:r>
      <w:r w:rsidR="0058387D">
        <w:rPr>
          <w:iCs/>
          <w:sz w:val="24"/>
          <w:szCs w:val="24"/>
          <w:lang w:val="lv-LV"/>
        </w:rPr>
        <w:t>as izsoles sākuma cenas –</w:t>
      </w:r>
      <w:r w:rsidR="00A72E54">
        <w:rPr>
          <w:iCs/>
          <w:sz w:val="24"/>
          <w:szCs w:val="24"/>
          <w:lang w:val="lv-LV"/>
        </w:rPr>
        <w:t xml:space="preserve"> </w:t>
      </w:r>
      <w:r w:rsidR="007F7DD6" w:rsidRPr="00A72E54">
        <w:rPr>
          <w:iCs/>
          <w:sz w:val="24"/>
          <w:szCs w:val="24"/>
          <w:lang w:val="lv-LV"/>
        </w:rPr>
        <w:t>360 €</w:t>
      </w:r>
      <w:r w:rsidR="00B30381" w:rsidRPr="00A72E54">
        <w:rPr>
          <w:iCs/>
          <w:sz w:val="24"/>
          <w:szCs w:val="24"/>
          <w:lang w:val="lv-LV"/>
        </w:rPr>
        <w:t>.</w:t>
      </w:r>
    </w:p>
    <w:p w:rsidR="00922954" w:rsidRPr="00922954" w:rsidRDefault="00922954" w:rsidP="00190C4A">
      <w:pPr>
        <w:pStyle w:val="Galvene"/>
        <w:tabs>
          <w:tab w:val="clear" w:pos="4153"/>
          <w:tab w:val="left" w:pos="284"/>
        </w:tabs>
        <w:jc w:val="both"/>
        <w:rPr>
          <w:iCs/>
          <w:sz w:val="24"/>
          <w:szCs w:val="24"/>
          <w:lang w:val="lv-LV"/>
        </w:rPr>
      </w:pPr>
      <w:r w:rsidRPr="00922954">
        <w:rPr>
          <w:b/>
          <w:iCs/>
          <w:sz w:val="24"/>
          <w:szCs w:val="24"/>
          <w:lang w:val="lv-LV"/>
        </w:rPr>
        <w:t>7.</w:t>
      </w:r>
      <w:r>
        <w:rPr>
          <w:iCs/>
          <w:sz w:val="24"/>
          <w:szCs w:val="24"/>
          <w:lang w:val="lv-LV"/>
        </w:rPr>
        <w:t xml:space="preserve"> </w:t>
      </w:r>
      <w:r w:rsidRPr="00922954">
        <w:rPr>
          <w:rFonts w:eastAsia="TimesNewRomanPS-BoldMT"/>
          <w:sz w:val="24"/>
          <w:szCs w:val="24"/>
          <w:lang w:val="lv-LV" w:eastAsia="en-US"/>
        </w:rPr>
        <w:t xml:space="preserve">Nodrošinājuma summa jāieskaita Pašvaldības </w:t>
      </w:r>
      <w:r w:rsidRPr="00922954">
        <w:rPr>
          <w:bCs/>
          <w:sz w:val="24"/>
          <w:lang w:val="lv-LV"/>
        </w:rPr>
        <w:t xml:space="preserve">norēķinu kontā </w:t>
      </w:r>
      <w:r w:rsidRPr="00922954">
        <w:rPr>
          <w:sz w:val="24"/>
          <w:szCs w:val="24"/>
          <w:lang w:val="lv-LV"/>
        </w:rPr>
        <w:t>a/s „</w:t>
      </w:r>
      <w:proofErr w:type="spellStart"/>
      <w:r w:rsidRPr="00922954">
        <w:rPr>
          <w:sz w:val="24"/>
          <w:szCs w:val="24"/>
          <w:lang w:val="lv-LV"/>
        </w:rPr>
        <w:t>Swedbank</w:t>
      </w:r>
      <w:proofErr w:type="spellEnd"/>
      <w:r w:rsidRPr="00922954">
        <w:rPr>
          <w:sz w:val="24"/>
          <w:szCs w:val="24"/>
          <w:lang w:val="lv-LV"/>
        </w:rPr>
        <w:t xml:space="preserve">”, bankas kods: HABALV22, konts: LV72 HABA 0551 0258 9898 2 vai </w:t>
      </w:r>
      <w:r w:rsidRPr="00922954">
        <w:rPr>
          <w:bCs/>
          <w:sz w:val="24"/>
          <w:lang w:val="lv-LV"/>
        </w:rPr>
        <w:t xml:space="preserve">a/s „Citadele banka”, bankas kods: PARXLV22, konts: LV65 PARX 0007 5064 9000 2. </w:t>
      </w:r>
      <w:r w:rsidRPr="00922954">
        <w:rPr>
          <w:b/>
          <w:bCs/>
          <w:sz w:val="24"/>
          <w:lang w:val="lv-LV"/>
        </w:rPr>
        <w:t>Maksājuma mērķī jānorāda</w:t>
      </w:r>
      <w:r w:rsidRPr="00922954">
        <w:rPr>
          <w:bCs/>
          <w:sz w:val="24"/>
          <w:lang w:val="lv-LV"/>
        </w:rPr>
        <w:t xml:space="preserve"> </w:t>
      </w:r>
      <w:r w:rsidRPr="00922954">
        <w:rPr>
          <w:b/>
          <w:bCs/>
          <w:sz w:val="24"/>
          <w:lang w:val="lv-LV"/>
        </w:rPr>
        <w:t xml:space="preserve">„Nodrošinājums par </w:t>
      </w:r>
      <w:r w:rsidR="00B30381">
        <w:rPr>
          <w:b/>
          <w:bCs/>
          <w:sz w:val="24"/>
          <w:lang w:val="lv-LV"/>
        </w:rPr>
        <w:t>automašīnu</w:t>
      </w:r>
      <w:r>
        <w:rPr>
          <w:b/>
          <w:bCs/>
          <w:sz w:val="24"/>
          <w:lang w:val="lv-LV"/>
        </w:rPr>
        <w:t>”.</w:t>
      </w:r>
    </w:p>
    <w:p w:rsidR="0086371C" w:rsidRPr="0086371C" w:rsidRDefault="00486AF3" w:rsidP="00190C4A">
      <w:pPr>
        <w:spacing w:before="100" w:beforeAutospacing="1" w:after="100" w:afterAutospacing="1"/>
        <w:jc w:val="center"/>
        <w:rPr>
          <w:sz w:val="24"/>
          <w:szCs w:val="24"/>
        </w:rPr>
      </w:pPr>
      <w:bookmarkStart w:id="0" w:name="bookmark3"/>
      <w:r>
        <w:rPr>
          <w:b/>
          <w:bCs/>
          <w:sz w:val="24"/>
          <w:szCs w:val="24"/>
        </w:rPr>
        <w:t>III</w:t>
      </w:r>
      <w:r w:rsidR="0086371C" w:rsidRPr="0086371C">
        <w:rPr>
          <w:b/>
          <w:bCs/>
          <w:sz w:val="24"/>
          <w:szCs w:val="24"/>
        </w:rPr>
        <w:t xml:space="preserve"> Pieteikum</w:t>
      </w:r>
      <w:r w:rsidR="000359D4">
        <w:rPr>
          <w:b/>
          <w:bCs/>
          <w:sz w:val="24"/>
          <w:szCs w:val="24"/>
        </w:rPr>
        <w:t>a</w:t>
      </w:r>
      <w:r w:rsidR="0086371C" w:rsidRPr="0086371C">
        <w:rPr>
          <w:b/>
          <w:bCs/>
          <w:sz w:val="24"/>
          <w:szCs w:val="24"/>
        </w:rPr>
        <w:t xml:space="preserve"> iesniegšana un reģistrēšana</w:t>
      </w:r>
      <w:bookmarkEnd w:id="0"/>
    </w:p>
    <w:p w:rsidR="0086371C" w:rsidRDefault="00922954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D32C9E" w:rsidRPr="00D32C9E">
        <w:rPr>
          <w:b/>
          <w:sz w:val="24"/>
          <w:szCs w:val="24"/>
        </w:rPr>
        <w:t>.</w:t>
      </w:r>
      <w:r w:rsidR="00D32C9E">
        <w:rPr>
          <w:sz w:val="24"/>
          <w:szCs w:val="24"/>
        </w:rPr>
        <w:t xml:space="preserve"> </w:t>
      </w:r>
      <w:r w:rsidR="00847204">
        <w:rPr>
          <w:sz w:val="24"/>
          <w:szCs w:val="24"/>
        </w:rPr>
        <w:t>P</w:t>
      </w:r>
      <w:r w:rsidR="0086371C" w:rsidRPr="0086371C">
        <w:rPr>
          <w:sz w:val="24"/>
          <w:szCs w:val="24"/>
        </w:rPr>
        <w:t xml:space="preserve">ašvaldības kustamās mantas pircējs var būt jebkura fiziska vai juridiska persona, kura saskaņā ar Latvijas Republikā spēkā esošajiem normatīvajiem aktiem var iegūt savā īpašumā </w:t>
      </w:r>
      <w:r w:rsidR="00075309">
        <w:rPr>
          <w:sz w:val="24"/>
          <w:szCs w:val="24"/>
        </w:rPr>
        <w:t>automašīnu</w:t>
      </w:r>
      <w:r w:rsidR="0086371C" w:rsidRPr="0086371C">
        <w:rPr>
          <w:sz w:val="24"/>
          <w:szCs w:val="24"/>
        </w:rPr>
        <w:t xml:space="preserve">. </w:t>
      </w:r>
    </w:p>
    <w:p w:rsidR="00216414" w:rsidRDefault="00922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9</w:t>
      </w:r>
      <w:r w:rsidR="00D32C9E">
        <w:rPr>
          <w:rFonts w:eastAsia="TimesNewRomanPS-BoldMT"/>
          <w:b/>
          <w:sz w:val="24"/>
          <w:szCs w:val="24"/>
          <w:lang w:eastAsia="en-US"/>
        </w:rPr>
        <w:t>. </w:t>
      </w:r>
      <w:r w:rsidR="00216414" w:rsidRPr="00DA3873">
        <w:rPr>
          <w:rFonts w:eastAsia="TimesNewRomanPS-BoldMT"/>
          <w:sz w:val="24"/>
          <w:szCs w:val="24"/>
          <w:lang w:eastAsia="en-US"/>
        </w:rPr>
        <w:t xml:space="preserve">Izsolei var pieteikties no sludinājuma publicēšanas </w:t>
      </w:r>
      <w:r w:rsidR="00216414">
        <w:rPr>
          <w:rFonts w:eastAsia="TimesNewRomanPS-BoldMT"/>
          <w:sz w:val="24"/>
          <w:szCs w:val="24"/>
          <w:lang w:eastAsia="en-US"/>
        </w:rPr>
        <w:t xml:space="preserve">dienas Pašvaldības </w:t>
      </w:r>
      <w:r w:rsidR="000F616A">
        <w:rPr>
          <w:rFonts w:eastAsia="TimesNewRomanPS-BoldMT"/>
          <w:sz w:val="24"/>
          <w:szCs w:val="24"/>
          <w:lang w:eastAsia="en-US"/>
        </w:rPr>
        <w:t>interneta vietnē</w:t>
      </w:r>
      <w:r w:rsidR="000359D4">
        <w:rPr>
          <w:rFonts w:eastAsia="TimesNewRomanPS-BoldMT"/>
          <w:sz w:val="24"/>
          <w:szCs w:val="24"/>
          <w:lang w:eastAsia="en-US"/>
        </w:rPr>
        <w:t xml:space="preserve"> </w:t>
      </w:r>
      <w:hyperlink r:id="rId6" w:history="1">
        <w:r w:rsidR="00216414" w:rsidRPr="00216414">
          <w:rPr>
            <w:rStyle w:val="Hipersaite"/>
            <w:rFonts w:eastAsia="TimesNewRomanPS-BoldMT"/>
            <w:color w:val="auto"/>
            <w:sz w:val="24"/>
            <w:szCs w:val="24"/>
            <w:u w:val="none"/>
            <w:lang w:eastAsia="en-US"/>
          </w:rPr>
          <w:t>www.dundaga.lv</w:t>
        </w:r>
      </w:hyperlink>
      <w:r w:rsidR="00216414">
        <w:rPr>
          <w:rFonts w:eastAsia="TimesNewRomanPS-BoldMT"/>
          <w:sz w:val="24"/>
          <w:szCs w:val="24"/>
          <w:lang w:eastAsia="en-US"/>
        </w:rPr>
        <w:t>.</w:t>
      </w:r>
    </w:p>
    <w:p w:rsidR="00216414" w:rsidRPr="00DA3873" w:rsidRDefault="00922954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10</w:t>
      </w:r>
      <w:r w:rsidR="00D32C9E">
        <w:rPr>
          <w:rFonts w:eastAsia="TimesNewRomanPS-BoldMT"/>
          <w:b/>
          <w:sz w:val="24"/>
          <w:szCs w:val="24"/>
          <w:lang w:eastAsia="en-US"/>
        </w:rPr>
        <w:t>. </w:t>
      </w:r>
      <w:r w:rsidR="000F616A">
        <w:rPr>
          <w:rFonts w:eastAsia="TimesNewRomanPS-BoldMT"/>
          <w:sz w:val="24"/>
          <w:szCs w:val="24"/>
          <w:lang w:eastAsia="en-US"/>
        </w:rPr>
        <w:t>Izsoles dalībnieks</w:t>
      </w:r>
      <w:r w:rsidR="00216414" w:rsidRPr="00DA3873">
        <w:rPr>
          <w:rFonts w:eastAsia="TimesNewRomanPS-BoldMT"/>
          <w:sz w:val="24"/>
          <w:szCs w:val="24"/>
          <w:lang w:eastAsia="en-US"/>
        </w:rPr>
        <w:t xml:space="preserve"> nedrīkst būt parādā Pašvaldībai (t.sk. nodokļu maksājumi, kā arī citas saistības).</w:t>
      </w:r>
    </w:p>
    <w:p w:rsidR="0046387E" w:rsidRPr="00DA3873" w:rsidRDefault="0046387E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Pr="00DA3873">
        <w:rPr>
          <w:rFonts w:eastAsia="TimesNewRomanPS-BoldMT"/>
          <w:sz w:val="24"/>
          <w:szCs w:val="24"/>
          <w:lang w:eastAsia="en-US"/>
        </w:rPr>
        <w:t> Lai piedalītos izsolē, ir jāiesniedz šādi dokumenti:</w:t>
      </w:r>
    </w:p>
    <w:p w:rsidR="00AB595B" w:rsidRPr="0046387E" w:rsidRDefault="0046387E" w:rsidP="00190C4A">
      <w:pPr>
        <w:tabs>
          <w:tab w:val="left" w:pos="426"/>
          <w:tab w:val="left" w:pos="993"/>
        </w:tabs>
        <w:ind w:left="426"/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.1.</w:t>
      </w:r>
      <w:r w:rsidRPr="00DA3873">
        <w:rPr>
          <w:rFonts w:eastAsia="TimesNewRomanPS-BoldMT"/>
        </w:rPr>
        <w:t> </w:t>
      </w:r>
      <w:r w:rsidRPr="00DA3873">
        <w:rPr>
          <w:rFonts w:eastAsia="TimesNewRomanPS-BoldMT"/>
          <w:sz w:val="24"/>
          <w:szCs w:val="24"/>
          <w:lang w:eastAsia="en-US"/>
        </w:rPr>
        <w:t>pašvaldībai adresēts pieteikums (</w:t>
      </w:r>
      <w:r w:rsidR="00A21AE3">
        <w:rPr>
          <w:rFonts w:eastAsia="TimesNewRomanPS-BoldMT"/>
          <w:sz w:val="24"/>
          <w:szCs w:val="24"/>
          <w:lang w:eastAsia="en-US"/>
        </w:rPr>
        <w:t>1. pielikums</w:t>
      </w:r>
      <w:r w:rsidRPr="00DA3873">
        <w:rPr>
          <w:rFonts w:eastAsia="TimesNewRomanPS-BoldMT"/>
          <w:sz w:val="24"/>
          <w:szCs w:val="24"/>
          <w:lang w:eastAsia="en-US"/>
        </w:rPr>
        <w:t xml:space="preserve">) par piedalīšanos izsolē, kas </w:t>
      </w:r>
      <w:r>
        <w:rPr>
          <w:rFonts w:eastAsia="TimesNewRomanPS-BoldMT"/>
          <w:sz w:val="24"/>
          <w:szCs w:val="24"/>
          <w:lang w:eastAsia="en-US"/>
        </w:rPr>
        <w:t xml:space="preserve">apliecina </w:t>
      </w:r>
      <w:r w:rsidR="007D5B2D">
        <w:rPr>
          <w:rFonts w:eastAsia="TimesNewRomanPS-BoldMT"/>
          <w:sz w:val="24"/>
          <w:szCs w:val="24"/>
          <w:lang w:eastAsia="en-US"/>
        </w:rPr>
        <w:t>automašīnas</w:t>
      </w:r>
      <w:r w:rsidRPr="00DA3873">
        <w:rPr>
          <w:rFonts w:eastAsia="TimesNewRomanPS-BoldMT"/>
          <w:sz w:val="24"/>
          <w:szCs w:val="24"/>
          <w:lang w:eastAsia="en-US"/>
        </w:rPr>
        <w:t xml:space="preserve"> pirkšanu saskaņā ar šiem izsoles noteikumiem;</w:t>
      </w:r>
    </w:p>
    <w:p w:rsidR="0046387E" w:rsidRPr="00DA3873" w:rsidRDefault="0046387E" w:rsidP="00190C4A">
      <w:pPr>
        <w:tabs>
          <w:tab w:val="left" w:pos="426"/>
          <w:tab w:val="left" w:pos="993"/>
        </w:tabs>
        <w:ind w:left="426"/>
        <w:jc w:val="both"/>
        <w:rPr>
          <w:rFonts w:eastAsia="TimesNewRomanPS-BoldMT"/>
          <w:sz w:val="24"/>
          <w:szCs w:val="24"/>
          <w:lang w:eastAsia="en-US"/>
        </w:rPr>
      </w:pPr>
      <w:r w:rsidRPr="00DA3873"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1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="00D32C9E">
        <w:rPr>
          <w:rFonts w:eastAsia="TimesNewRomanPS-BoldMT"/>
          <w:b/>
          <w:sz w:val="24"/>
          <w:szCs w:val="24"/>
          <w:lang w:eastAsia="en-US"/>
        </w:rPr>
        <w:t>2</w:t>
      </w:r>
      <w:r w:rsidRPr="00DA3873">
        <w:rPr>
          <w:rFonts w:eastAsia="TimesNewRomanPS-BoldMT"/>
          <w:b/>
          <w:sz w:val="24"/>
          <w:szCs w:val="24"/>
          <w:lang w:eastAsia="en-US"/>
        </w:rPr>
        <w:t>.</w:t>
      </w:r>
      <w:r w:rsidRPr="00DA3873">
        <w:rPr>
          <w:rFonts w:eastAsia="TimesNewRomanPS-BoldMT"/>
          <w:sz w:val="24"/>
          <w:szCs w:val="24"/>
          <w:lang w:eastAsia="en-US"/>
        </w:rPr>
        <w:t> nodrošinājuma summas samaksas apliecinošs dokuments;</w:t>
      </w:r>
    </w:p>
    <w:p w:rsidR="001069DF" w:rsidRPr="0086371C" w:rsidRDefault="00D32C9E" w:rsidP="00190C4A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.3</w:t>
      </w:r>
      <w:r w:rsidR="004D2D3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069DF" w:rsidRPr="0086371C">
        <w:rPr>
          <w:sz w:val="24"/>
          <w:szCs w:val="24"/>
        </w:rPr>
        <w:t>juridiskai personai</w:t>
      </w:r>
      <w:r w:rsidR="00DD0AD5">
        <w:rPr>
          <w:sz w:val="24"/>
          <w:szCs w:val="24"/>
        </w:rPr>
        <w:t xml:space="preserve"> – </w:t>
      </w:r>
      <w:r w:rsidR="001069DF" w:rsidRPr="0086371C">
        <w:rPr>
          <w:sz w:val="24"/>
          <w:szCs w:val="24"/>
        </w:rPr>
        <w:t>juridiskās personas pārstāvja (pilnvarotās personas) tiesības rīkoties uzņēmuma vārdā apliecinošs dokuments</w:t>
      </w:r>
      <w:r w:rsidR="00AA373C">
        <w:rPr>
          <w:sz w:val="24"/>
          <w:szCs w:val="24"/>
        </w:rPr>
        <w:t>;</w:t>
      </w:r>
    </w:p>
    <w:p w:rsidR="001069DF" w:rsidRPr="0086371C" w:rsidRDefault="00D32C9E" w:rsidP="00190C4A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92295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.4.</w:t>
      </w:r>
      <w:r w:rsidR="001069DF" w:rsidRPr="0086371C">
        <w:rPr>
          <w:sz w:val="24"/>
          <w:szCs w:val="24"/>
        </w:rPr>
        <w:t xml:space="preserve"> fiziskai personai nepieciešamības gadījumā normatīvajos aktos noteiktajā kārtībā apstiprināts pilnvarojums pārstāvēt fizisko personu</w:t>
      </w:r>
      <w:r w:rsidR="0045604F">
        <w:rPr>
          <w:sz w:val="24"/>
          <w:szCs w:val="24"/>
        </w:rPr>
        <w:t>.</w:t>
      </w:r>
      <w:r w:rsidR="001069DF" w:rsidRPr="0086371C">
        <w:rPr>
          <w:sz w:val="24"/>
          <w:szCs w:val="24"/>
        </w:rPr>
        <w:t xml:space="preserve"> </w:t>
      </w:r>
    </w:p>
    <w:p w:rsidR="001069DF" w:rsidRPr="0086371C" w:rsidRDefault="00D32C9E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1069DF" w:rsidRPr="0086371C">
        <w:rPr>
          <w:sz w:val="24"/>
          <w:szCs w:val="24"/>
        </w:rPr>
        <w:t xml:space="preserve"> Ārvalstīs izsniegtos dokumentus pieņem, ja tie noformēti atbilstoši Latvijai saistošu starptautisko līgumu </w:t>
      </w:r>
      <w:r w:rsidR="00C84129">
        <w:rPr>
          <w:sz w:val="24"/>
          <w:szCs w:val="24"/>
        </w:rPr>
        <w:t>noteikumiem</w:t>
      </w:r>
      <w:r w:rsidR="001069DF" w:rsidRPr="0086371C">
        <w:rPr>
          <w:sz w:val="24"/>
          <w:szCs w:val="24"/>
        </w:rPr>
        <w:t xml:space="preserve">. </w:t>
      </w:r>
    </w:p>
    <w:p w:rsidR="00BE0364" w:rsidRDefault="00F2057F" w:rsidP="00190C4A">
      <w:pPr>
        <w:tabs>
          <w:tab w:val="left" w:pos="426"/>
          <w:tab w:val="left" w:pos="993"/>
        </w:tabs>
        <w:jc w:val="both"/>
        <w:rPr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3</w:t>
      </w:r>
      <w:r w:rsidR="000359D4" w:rsidRPr="00127A2B">
        <w:rPr>
          <w:rFonts w:eastAsia="TimesNewRomanPS-BoldMT"/>
          <w:b/>
          <w:sz w:val="24"/>
          <w:szCs w:val="24"/>
          <w:lang w:eastAsia="en-US"/>
        </w:rPr>
        <w:t xml:space="preserve">. </w:t>
      </w:r>
      <w:r w:rsidR="000359D4" w:rsidRPr="00127A2B">
        <w:rPr>
          <w:rFonts w:eastAsia="TimesNewRomanPS-BoldMT"/>
          <w:sz w:val="24"/>
          <w:szCs w:val="24"/>
          <w:lang w:eastAsia="en-US"/>
        </w:rPr>
        <w:t>Pieteikumus iesniedz slēgtā aploksnē</w:t>
      </w:r>
      <w:r w:rsidR="0083665E">
        <w:rPr>
          <w:rFonts w:eastAsia="TimesNewRomanPS-BoldMT"/>
          <w:sz w:val="24"/>
          <w:szCs w:val="24"/>
          <w:lang w:eastAsia="en-US"/>
        </w:rPr>
        <w:t xml:space="preserve"> </w:t>
      </w:r>
      <w:r w:rsidR="0083665E" w:rsidRPr="00064304">
        <w:rPr>
          <w:rFonts w:eastAsia="TimesNewRomanPS-BoldMT"/>
          <w:sz w:val="24"/>
          <w:szCs w:val="24"/>
          <w:u w:val="single"/>
          <w:lang w:eastAsia="en-US"/>
        </w:rPr>
        <w:t xml:space="preserve">līdz </w:t>
      </w:r>
      <w:r w:rsidR="008F04A2" w:rsidRPr="00064304">
        <w:rPr>
          <w:rFonts w:eastAsia="TimesNewRomanPS-BoldMT"/>
          <w:sz w:val="24"/>
          <w:szCs w:val="24"/>
          <w:u w:val="single"/>
          <w:lang w:eastAsia="en-US"/>
        </w:rPr>
        <w:t>2020</w:t>
      </w:r>
      <w:r w:rsidR="0083665E" w:rsidRPr="00064304">
        <w:rPr>
          <w:rFonts w:eastAsia="TimesNewRomanPS-BoldMT"/>
          <w:sz w:val="24"/>
          <w:szCs w:val="24"/>
          <w:u w:val="single"/>
          <w:lang w:eastAsia="en-US"/>
        </w:rPr>
        <w:t>.</w:t>
      </w:r>
      <w:r w:rsidR="00931BF6" w:rsidRPr="00064304">
        <w:rPr>
          <w:rFonts w:eastAsia="TimesNewRomanPS-BoldMT"/>
          <w:sz w:val="24"/>
          <w:szCs w:val="24"/>
          <w:u w:val="single"/>
          <w:lang w:eastAsia="en-US"/>
        </w:rPr>
        <w:t xml:space="preserve"> </w:t>
      </w:r>
      <w:r w:rsidR="0083665E" w:rsidRPr="00064304">
        <w:rPr>
          <w:rFonts w:eastAsia="TimesNewRomanPS-BoldMT"/>
          <w:sz w:val="24"/>
          <w:szCs w:val="24"/>
          <w:u w:val="single"/>
          <w:lang w:eastAsia="en-US"/>
        </w:rPr>
        <w:t xml:space="preserve">gada </w:t>
      </w:r>
      <w:r w:rsidR="004F25B9" w:rsidRPr="00064304">
        <w:rPr>
          <w:rFonts w:eastAsia="TimesNewRomanPS-BoldMT"/>
          <w:sz w:val="24"/>
          <w:szCs w:val="24"/>
          <w:u w:val="single"/>
          <w:lang w:eastAsia="en-US"/>
        </w:rPr>
        <w:t>1</w:t>
      </w:r>
      <w:r w:rsidR="007F7DD6" w:rsidRPr="00064304">
        <w:rPr>
          <w:rFonts w:eastAsia="TimesNewRomanPS-BoldMT"/>
          <w:sz w:val="24"/>
          <w:szCs w:val="24"/>
          <w:u w:val="single"/>
          <w:lang w:eastAsia="en-US"/>
        </w:rPr>
        <w:t>4</w:t>
      </w:r>
      <w:r w:rsidR="00832AFD" w:rsidRPr="00064304">
        <w:rPr>
          <w:rFonts w:eastAsia="TimesNewRomanPS-BoldMT"/>
          <w:sz w:val="24"/>
          <w:szCs w:val="24"/>
          <w:u w:val="single"/>
          <w:lang w:eastAsia="en-US"/>
        </w:rPr>
        <w:t>.</w:t>
      </w:r>
      <w:r w:rsidR="007F7DD6" w:rsidRPr="00064304">
        <w:rPr>
          <w:rFonts w:eastAsia="TimesNewRomanPS-BoldMT"/>
          <w:sz w:val="24"/>
          <w:szCs w:val="24"/>
          <w:u w:val="single"/>
          <w:lang w:eastAsia="en-US"/>
        </w:rPr>
        <w:t>august</w:t>
      </w:r>
      <w:r w:rsidR="00832AFD" w:rsidRPr="00064304">
        <w:rPr>
          <w:rFonts w:eastAsia="TimesNewRomanPS-BoldMT"/>
          <w:sz w:val="24"/>
          <w:szCs w:val="24"/>
          <w:u w:val="single"/>
          <w:lang w:eastAsia="en-US"/>
        </w:rPr>
        <w:t>am</w:t>
      </w:r>
      <w:r w:rsidR="0083665E" w:rsidRPr="00064304">
        <w:rPr>
          <w:rFonts w:eastAsia="TimesNewRomanPS-BoldMT"/>
          <w:sz w:val="24"/>
          <w:szCs w:val="24"/>
          <w:u w:val="single"/>
          <w:lang w:eastAsia="en-US"/>
        </w:rPr>
        <w:t xml:space="preserve"> plkst. </w:t>
      </w:r>
      <w:r w:rsidR="008F04A2" w:rsidRPr="00064304">
        <w:rPr>
          <w:rFonts w:eastAsia="TimesNewRomanPS-BoldMT"/>
          <w:sz w:val="24"/>
          <w:szCs w:val="24"/>
          <w:u w:val="single"/>
          <w:lang w:eastAsia="en-US"/>
        </w:rPr>
        <w:t>1</w:t>
      </w:r>
      <w:r w:rsidR="007F7DD6" w:rsidRPr="00064304">
        <w:rPr>
          <w:rFonts w:eastAsia="TimesNewRomanPS-BoldMT"/>
          <w:sz w:val="24"/>
          <w:szCs w:val="24"/>
          <w:u w:val="single"/>
          <w:lang w:eastAsia="en-US"/>
        </w:rPr>
        <w:t>1</w:t>
      </w:r>
      <w:r w:rsidR="0083665E" w:rsidRPr="00064304">
        <w:rPr>
          <w:rFonts w:eastAsia="TimesNewRomanPS-BoldMT"/>
          <w:sz w:val="24"/>
          <w:szCs w:val="24"/>
          <w:u w:val="single"/>
          <w:lang w:eastAsia="en-US"/>
        </w:rPr>
        <w:t>.00</w:t>
      </w:r>
      <w:r w:rsidR="0083665E">
        <w:rPr>
          <w:rFonts w:eastAsia="TimesNewRomanPS-BoldMT"/>
          <w:sz w:val="24"/>
          <w:szCs w:val="24"/>
          <w:lang w:eastAsia="en-US"/>
        </w:rPr>
        <w:t xml:space="preserve"> </w:t>
      </w:r>
      <w:r w:rsidR="00EE2654" w:rsidRPr="00EE2654">
        <w:rPr>
          <w:sz w:val="24"/>
          <w:szCs w:val="24"/>
        </w:rPr>
        <w:t>darba laikā Dundagas novada pašvaldības administratīvajā ēkā, nogādājot personīgi</w:t>
      </w:r>
      <w:r w:rsidR="005D1DB9">
        <w:rPr>
          <w:sz w:val="24"/>
          <w:szCs w:val="24"/>
        </w:rPr>
        <w:t xml:space="preserve"> vai</w:t>
      </w:r>
      <w:r w:rsidR="00C67960">
        <w:rPr>
          <w:sz w:val="24"/>
          <w:szCs w:val="24"/>
        </w:rPr>
        <w:t xml:space="preserve"> nosūtot</w:t>
      </w:r>
      <w:r w:rsidR="00EE2654" w:rsidRPr="00EE2654">
        <w:rPr>
          <w:sz w:val="24"/>
          <w:szCs w:val="24"/>
        </w:rPr>
        <w:t xml:space="preserve"> pa pastu</w:t>
      </w:r>
      <w:r w:rsidR="00EE2654">
        <w:t>.</w:t>
      </w:r>
      <w:r w:rsidR="000359D4" w:rsidRPr="00127A2B">
        <w:rPr>
          <w:rFonts w:eastAsia="TimesNewRomanPS-BoldMT"/>
          <w:sz w:val="24"/>
          <w:szCs w:val="24"/>
          <w:lang w:eastAsia="en-US"/>
        </w:rPr>
        <w:t xml:space="preserve"> Uz aploksnes jābūt norādītam tekstam </w:t>
      </w:r>
      <w:r w:rsidR="000359D4" w:rsidRPr="00127A2B">
        <w:rPr>
          <w:sz w:val="24"/>
          <w:szCs w:val="24"/>
          <w:lang w:eastAsia="en-US"/>
        </w:rPr>
        <w:t xml:space="preserve">„ Pieteikums </w:t>
      </w:r>
      <w:r w:rsidR="00075309">
        <w:rPr>
          <w:iCs/>
          <w:sz w:val="24"/>
          <w:szCs w:val="24"/>
        </w:rPr>
        <w:t>automašīnas</w:t>
      </w:r>
      <w:r w:rsidR="000359D4" w:rsidRPr="000359D4">
        <w:rPr>
          <w:iCs/>
          <w:sz w:val="24"/>
          <w:szCs w:val="24"/>
        </w:rPr>
        <w:t xml:space="preserve"> </w:t>
      </w:r>
      <w:r w:rsidR="000359D4" w:rsidRPr="00127A2B">
        <w:rPr>
          <w:sz w:val="24"/>
          <w:szCs w:val="24"/>
          <w:lang w:eastAsia="en-US"/>
        </w:rPr>
        <w:t>rakstiskai izsolei”.</w:t>
      </w:r>
      <w:bookmarkStart w:id="1" w:name="bookmark4"/>
    </w:p>
    <w:p w:rsidR="00BE0364" w:rsidRPr="00BE0364" w:rsidRDefault="00F2057F" w:rsidP="00241C52">
      <w:pPr>
        <w:jc w:val="both"/>
        <w:rPr>
          <w:sz w:val="24"/>
          <w:szCs w:val="24"/>
        </w:rPr>
      </w:pPr>
      <w:r w:rsidRPr="00F2057F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4</w:t>
      </w:r>
      <w:r w:rsidRPr="00F2057F">
        <w:rPr>
          <w:b/>
          <w:sz w:val="24"/>
          <w:szCs w:val="24"/>
        </w:rPr>
        <w:t>.</w:t>
      </w:r>
      <w:r w:rsidR="00BE0364" w:rsidRPr="0086371C">
        <w:rPr>
          <w:sz w:val="24"/>
          <w:szCs w:val="24"/>
        </w:rPr>
        <w:t xml:space="preserve"> Personiski iesniegtie vai pa pastu atsūtītie piedāvājumi rakstiskai izsolei glabājami slēgtās aploksnēs līdz izsolei. </w:t>
      </w:r>
    </w:p>
    <w:p w:rsidR="0086371C" w:rsidRPr="0086371C" w:rsidRDefault="00486AF3" w:rsidP="00190C4A">
      <w:pPr>
        <w:spacing w:before="240"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="0086371C" w:rsidRPr="008637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Izsoles norise</w:t>
      </w:r>
      <w:bookmarkEnd w:id="1"/>
    </w:p>
    <w:p w:rsidR="00E96A95" w:rsidRDefault="008B6954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eastAsia="TimesNewRomanPS-BoldMT"/>
          <w:b/>
          <w:sz w:val="24"/>
          <w:szCs w:val="24"/>
          <w:lang w:eastAsia="en-US"/>
        </w:rPr>
        <w:t>1</w:t>
      </w:r>
      <w:r w:rsidR="00922954">
        <w:rPr>
          <w:rFonts w:eastAsia="TimesNewRomanPS-BoldMT"/>
          <w:b/>
          <w:sz w:val="24"/>
          <w:szCs w:val="24"/>
          <w:lang w:eastAsia="en-US"/>
        </w:rPr>
        <w:t>5</w:t>
      </w:r>
      <w:r w:rsidR="00E96A95" w:rsidRPr="00A86F28">
        <w:rPr>
          <w:rFonts w:eastAsia="TimesNewRomanPS-BoldMT"/>
          <w:b/>
          <w:sz w:val="24"/>
          <w:szCs w:val="24"/>
          <w:lang w:eastAsia="en-US"/>
        </w:rPr>
        <w:t>.</w:t>
      </w:r>
      <w:r w:rsidR="00E96A95">
        <w:rPr>
          <w:rFonts w:eastAsia="TimesNewRomanPS-BoldMT"/>
          <w:sz w:val="24"/>
          <w:szCs w:val="24"/>
          <w:lang w:eastAsia="en-US"/>
        </w:rPr>
        <w:t xml:space="preserve"> </w:t>
      </w:r>
      <w:r w:rsidR="00E96A95" w:rsidRPr="00C670F4">
        <w:rPr>
          <w:rFonts w:eastAsia="TimesNewRomanPS-BoldMT"/>
          <w:b/>
          <w:sz w:val="24"/>
          <w:szCs w:val="24"/>
          <w:lang w:eastAsia="en-US"/>
        </w:rPr>
        <w:t xml:space="preserve">Izsole notiks </w:t>
      </w:r>
      <w:r w:rsidR="008F04A2">
        <w:rPr>
          <w:b/>
          <w:sz w:val="24"/>
          <w:szCs w:val="24"/>
        </w:rPr>
        <w:t>2020</w:t>
      </w:r>
      <w:r w:rsidR="00E96A95" w:rsidRPr="00C670F4">
        <w:rPr>
          <w:b/>
          <w:sz w:val="24"/>
          <w:szCs w:val="24"/>
        </w:rPr>
        <w:t xml:space="preserve">. </w:t>
      </w:r>
      <w:r w:rsidR="00E96A95" w:rsidRPr="00A72E54">
        <w:rPr>
          <w:b/>
          <w:sz w:val="24"/>
          <w:szCs w:val="24"/>
        </w:rPr>
        <w:t xml:space="preserve">gada </w:t>
      </w:r>
      <w:r w:rsidR="004F25B9" w:rsidRPr="00A72E54">
        <w:rPr>
          <w:b/>
          <w:sz w:val="24"/>
          <w:szCs w:val="24"/>
        </w:rPr>
        <w:t>1</w:t>
      </w:r>
      <w:r w:rsidR="007F7DD6" w:rsidRPr="00A72E54">
        <w:rPr>
          <w:b/>
          <w:sz w:val="24"/>
          <w:szCs w:val="24"/>
        </w:rPr>
        <w:t>4</w:t>
      </w:r>
      <w:r w:rsidR="008F04A2" w:rsidRPr="00A72E54">
        <w:rPr>
          <w:b/>
          <w:sz w:val="24"/>
          <w:szCs w:val="24"/>
        </w:rPr>
        <w:t>.</w:t>
      </w:r>
      <w:r w:rsidR="007F7DD6" w:rsidRPr="00A72E54">
        <w:rPr>
          <w:b/>
          <w:sz w:val="24"/>
          <w:szCs w:val="24"/>
        </w:rPr>
        <w:t>augustā</w:t>
      </w:r>
      <w:r w:rsidR="00832AFD" w:rsidRPr="00A72E54">
        <w:rPr>
          <w:rFonts w:eastAsia="TimesNewRomanPS-BoldMT"/>
          <w:b/>
          <w:sz w:val="24"/>
          <w:szCs w:val="24"/>
          <w:lang w:eastAsia="en-US"/>
        </w:rPr>
        <w:t xml:space="preserve"> </w:t>
      </w:r>
      <w:r w:rsidR="0058387D" w:rsidRPr="00A72E54">
        <w:rPr>
          <w:rFonts w:eastAsia="TimesNewRomanPS-BoldMT"/>
          <w:b/>
          <w:sz w:val="24"/>
          <w:szCs w:val="24"/>
          <w:lang w:eastAsia="en-US"/>
        </w:rPr>
        <w:t>plkst. 13.</w:t>
      </w:r>
      <w:r w:rsidR="007F7DD6" w:rsidRPr="00A72E54">
        <w:rPr>
          <w:rFonts w:eastAsia="TimesNewRomanPS-BoldMT"/>
          <w:b/>
          <w:sz w:val="24"/>
          <w:szCs w:val="24"/>
          <w:lang w:eastAsia="en-US"/>
        </w:rPr>
        <w:t>0</w:t>
      </w:r>
      <w:r w:rsidR="00E96A95" w:rsidRPr="00A72E54">
        <w:rPr>
          <w:rFonts w:eastAsia="TimesNewRomanPS-BoldMT"/>
          <w:b/>
          <w:sz w:val="24"/>
          <w:szCs w:val="24"/>
          <w:lang w:eastAsia="en-US"/>
        </w:rPr>
        <w:t>0</w:t>
      </w:r>
      <w:r w:rsidR="00E96A95" w:rsidRPr="00C670F4">
        <w:rPr>
          <w:rFonts w:eastAsia="TimesNewRomanPS-BoldMT"/>
          <w:b/>
          <w:sz w:val="24"/>
          <w:szCs w:val="24"/>
          <w:lang w:eastAsia="en-US"/>
        </w:rPr>
        <w:t xml:space="preserve"> Pašvaldības </w:t>
      </w:r>
      <w:r w:rsidR="00E96A95">
        <w:rPr>
          <w:b/>
          <w:sz w:val="24"/>
          <w:szCs w:val="24"/>
        </w:rPr>
        <w:t>administratīvajā ēkā</w:t>
      </w:r>
      <w:r w:rsidR="00E96A95" w:rsidRPr="00C670F4">
        <w:rPr>
          <w:b/>
          <w:sz w:val="24"/>
          <w:szCs w:val="24"/>
        </w:rPr>
        <w:t>, Pils ielā 5-1, Dundagā, Dundagas pagastā, Dundagas novadā.</w:t>
      </w:r>
    </w:p>
    <w:p w:rsidR="00947071" w:rsidRDefault="00BE0364" w:rsidP="00190C4A">
      <w:pPr>
        <w:jc w:val="both"/>
        <w:rPr>
          <w:sz w:val="24"/>
          <w:szCs w:val="24"/>
        </w:rPr>
      </w:pPr>
      <w:r w:rsidRPr="005D1271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6</w:t>
      </w:r>
      <w:r w:rsidRPr="005D1271">
        <w:rPr>
          <w:b/>
          <w:sz w:val="24"/>
          <w:szCs w:val="24"/>
        </w:rPr>
        <w:t>.</w:t>
      </w:r>
      <w:r w:rsidRPr="005D1271">
        <w:rPr>
          <w:sz w:val="24"/>
          <w:szCs w:val="24"/>
        </w:rPr>
        <w:t xml:space="preserve"> </w:t>
      </w:r>
      <w:r w:rsidR="00947071" w:rsidRPr="005D1271">
        <w:rPr>
          <w:sz w:val="24"/>
          <w:szCs w:val="24"/>
        </w:rPr>
        <w:t>Fiziskai personai uz izsoli jābūt līdzi personu apliecinošam dokumentam, juridiskai personai – pārstāvniecību apstiprinošam dokumentam un pārstāvja personu apliecinošam dokumentam.</w:t>
      </w:r>
      <w:r w:rsidR="008407B1" w:rsidRPr="005D1271">
        <w:rPr>
          <w:sz w:val="24"/>
          <w:szCs w:val="24"/>
        </w:rPr>
        <w:t xml:space="preserve"> Izsoles dalībnieki var piedalīties piedāvājumu atvēršanā.</w:t>
      </w:r>
    </w:p>
    <w:p w:rsidR="002A2E55" w:rsidRDefault="00947071" w:rsidP="00190C4A">
      <w:pPr>
        <w:jc w:val="both"/>
        <w:rPr>
          <w:sz w:val="24"/>
          <w:szCs w:val="24"/>
        </w:rPr>
      </w:pPr>
      <w:r w:rsidRPr="00947071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7</w:t>
      </w:r>
      <w:r w:rsidRPr="0094707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A2E55">
        <w:rPr>
          <w:sz w:val="24"/>
          <w:szCs w:val="24"/>
        </w:rPr>
        <w:t xml:space="preserve">Izsoles vadītājs atklāj izsoli, raksturo pārdodamo objektu un paziņo izsolāmā objekta </w:t>
      </w:r>
      <w:r w:rsidR="000B767E">
        <w:rPr>
          <w:sz w:val="24"/>
          <w:szCs w:val="24"/>
        </w:rPr>
        <w:t xml:space="preserve">sākuma </w:t>
      </w:r>
      <w:r w:rsidR="002A2E55">
        <w:rPr>
          <w:sz w:val="24"/>
          <w:szCs w:val="24"/>
        </w:rPr>
        <w:t>cenu.</w:t>
      </w:r>
    </w:p>
    <w:p w:rsidR="002A2E55" w:rsidRDefault="00BE0364" w:rsidP="00190C4A">
      <w:pPr>
        <w:jc w:val="both"/>
        <w:rPr>
          <w:sz w:val="24"/>
          <w:szCs w:val="24"/>
        </w:rPr>
      </w:pPr>
      <w:r w:rsidRPr="00BE0364"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8</w:t>
      </w:r>
      <w:r w:rsidRPr="00BE036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Komisija</w:t>
      </w:r>
      <w:r w:rsidR="002A2E55" w:rsidRPr="0086371C">
        <w:rPr>
          <w:sz w:val="24"/>
          <w:szCs w:val="24"/>
        </w:rPr>
        <w:t xml:space="preserve"> dalībnieku klātbūtnē atver slēgt</w:t>
      </w:r>
      <w:r w:rsidR="00786016">
        <w:rPr>
          <w:sz w:val="24"/>
          <w:szCs w:val="24"/>
        </w:rPr>
        <w:t>aj</w:t>
      </w:r>
      <w:r w:rsidR="002A2E55" w:rsidRPr="0086371C">
        <w:rPr>
          <w:sz w:val="24"/>
          <w:szCs w:val="24"/>
        </w:rPr>
        <w:t xml:space="preserve">ās aploksnēs iesniegtos piedāvājumus un uz tiem parakstās </w:t>
      </w:r>
      <w:r>
        <w:rPr>
          <w:sz w:val="24"/>
          <w:szCs w:val="24"/>
        </w:rPr>
        <w:t>visi komisijas locekļi</w:t>
      </w:r>
      <w:r w:rsidR="002A2E55" w:rsidRPr="0086371C">
        <w:rPr>
          <w:sz w:val="24"/>
          <w:szCs w:val="24"/>
        </w:rPr>
        <w:t>. Mutiskie piedāvājumi rakstiskā izsolē ir aizliegti</w:t>
      </w:r>
      <w:r w:rsidR="002A2E55">
        <w:rPr>
          <w:sz w:val="24"/>
          <w:szCs w:val="24"/>
        </w:rPr>
        <w:t>.</w:t>
      </w:r>
    </w:p>
    <w:p w:rsidR="00763D1E" w:rsidRPr="0086371C" w:rsidRDefault="00BE0364" w:rsidP="00190C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92295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763D1E" w:rsidRPr="0086371C">
        <w:rPr>
          <w:sz w:val="24"/>
          <w:szCs w:val="24"/>
        </w:rPr>
        <w:t xml:space="preserve"> Pēc aplokšņu atvēršanas izsoles rīkotājs no iesniegtajiem piedāvājumiem sastāda piedāvāto cenu sarakstu </w:t>
      </w:r>
      <w:r w:rsidR="00763D1E" w:rsidRPr="00FF7A37">
        <w:rPr>
          <w:sz w:val="24"/>
          <w:szCs w:val="24"/>
        </w:rPr>
        <w:t>(</w:t>
      </w:r>
      <w:r w:rsidR="00FF7A37" w:rsidRPr="00FF7A37">
        <w:rPr>
          <w:sz w:val="24"/>
          <w:szCs w:val="24"/>
        </w:rPr>
        <w:t>2. pielikums</w:t>
      </w:r>
      <w:r w:rsidR="00763D1E" w:rsidRPr="00FF7A37">
        <w:rPr>
          <w:sz w:val="24"/>
          <w:szCs w:val="24"/>
        </w:rPr>
        <w:t>),</w:t>
      </w:r>
      <w:r w:rsidR="00763D1E" w:rsidRPr="0086371C">
        <w:rPr>
          <w:sz w:val="24"/>
          <w:szCs w:val="24"/>
        </w:rPr>
        <w:t xml:space="preserve"> atraida nederīgos piedāvājumus, atzīmējot to izsoles protokolā, nosauc visaugstāko cenu un </w:t>
      </w:r>
      <w:r w:rsidR="00B44C95">
        <w:rPr>
          <w:sz w:val="24"/>
          <w:szCs w:val="24"/>
        </w:rPr>
        <w:t>personu</w:t>
      </w:r>
      <w:r w:rsidR="00763D1E" w:rsidRPr="0086371C">
        <w:rPr>
          <w:sz w:val="24"/>
          <w:szCs w:val="24"/>
        </w:rPr>
        <w:t xml:space="preserve">, kas to nosolījusi un paziņo, ka izsole pabeigta. </w:t>
      </w:r>
    </w:p>
    <w:p w:rsidR="00763D1E" w:rsidRPr="005D1271" w:rsidRDefault="00922954" w:rsidP="00951F01">
      <w:pPr>
        <w:pStyle w:val="ParastaisWeb"/>
        <w:spacing w:before="0" w:beforeAutospacing="0" w:after="0" w:afterAutospacing="0"/>
        <w:jc w:val="both"/>
      </w:pPr>
      <w:r>
        <w:rPr>
          <w:b/>
        </w:rPr>
        <w:t>20</w:t>
      </w:r>
      <w:r w:rsidR="00BE0364" w:rsidRPr="005D1271">
        <w:rPr>
          <w:b/>
        </w:rPr>
        <w:t>.</w:t>
      </w:r>
      <w:r w:rsidR="00763D1E" w:rsidRPr="005D1271">
        <w:t xml:space="preserve"> Ja pēc visu aplokšņu atvēršanas izrādās, ka vairāki izsoles dalībnieki piedāvājuši vienādu augstāko cenu, </w:t>
      </w:r>
      <w:r w:rsidR="00AB7F1E" w:rsidRPr="005D1271">
        <w:t>Komisija</w:t>
      </w:r>
      <w:r w:rsidR="00763D1E" w:rsidRPr="005D1271">
        <w:t xml:space="preserve"> turpina izsoli, pieņemot rakstiskus piedāvājumus no </w:t>
      </w:r>
      <w:r w:rsidR="00B44C95">
        <w:t>personām</w:t>
      </w:r>
      <w:r w:rsidR="00763D1E" w:rsidRPr="005D1271">
        <w:t>, kur</w:t>
      </w:r>
      <w:r w:rsidR="00B44C95">
        <w:t>as</w:t>
      </w:r>
      <w:r w:rsidR="00763D1E" w:rsidRPr="005D1271">
        <w:t xml:space="preserve"> piedāvājušas vienādu augstāko cenu</w:t>
      </w:r>
      <w:r w:rsidR="00066F72" w:rsidRPr="005D1271">
        <w:t>, ja tie piedalās pieteikumu atvēršanā, un organizē piedāvājumu tūlītēju atvēršanu.</w:t>
      </w:r>
    </w:p>
    <w:p w:rsidR="00066F72" w:rsidRPr="00902B46" w:rsidRDefault="00947071" w:rsidP="00066F72">
      <w:pPr>
        <w:pStyle w:val="ParastaisWeb"/>
        <w:spacing w:before="0" w:beforeAutospacing="0" w:after="0" w:afterAutospacing="0"/>
        <w:jc w:val="both"/>
      </w:pPr>
      <w:r w:rsidRPr="005D1271">
        <w:rPr>
          <w:b/>
        </w:rPr>
        <w:t>2</w:t>
      </w:r>
      <w:r w:rsidR="00922954">
        <w:rPr>
          <w:b/>
        </w:rPr>
        <w:t>1</w:t>
      </w:r>
      <w:r w:rsidR="00066F72" w:rsidRPr="005D1271">
        <w:rPr>
          <w:b/>
        </w:rPr>
        <w:t>.</w:t>
      </w:r>
      <w:r w:rsidR="00066F72" w:rsidRPr="005D1271">
        <w:t xml:space="preserve"> Gadījumā, ja nav iespējams turpināt izsoli (piem. pretendents vai tā pārstāvis nepiedalās pie</w:t>
      </w:r>
      <w:r w:rsidR="00505A64">
        <w:t>teikumu atvēršanā) tad Komisija</w:t>
      </w:r>
      <w:r w:rsidR="00066F72" w:rsidRPr="005D1271">
        <w:t xml:space="preserve"> rakstiski lūdz </w:t>
      </w:r>
      <w:r w:rsidR="00B44C95">
        <w:t>personas, kuras</w:t>
      </w:r>
      <w:r w:rsidR="00066F72" w:rsidRPr="005D1271">
        <w:t xml:space="preserve"> piedāvājuš</w:t>
      </w:r>
      <w:r w:rsidR="00B44C95">
        <w:t>as</w:t>
      </w:r>
      <w:r w:rsidR="00066F72" w:rsidRPr="005D1271">
        <w:t xml:space="preserve"> vienādu augstāko </w:t>
      </w:r>
      <w:r w:rsidR="00B44C95">
        <w:t>cenu</w:t>
      </w:r>
      <w:r w:rsidR="00066F72" w:rsidRPr="005D1271">
        <w:t xml:space="preserve">, izteikt rakstiski savus piedāvājumus par iespējami augstāko </w:t>
      </w:r>
      <w:r w:rsidR="00B44C95">
        <w:t>cenu</w:t>
      </w:r>
      <w:r w:rsidR="00066F72" w:rsidRPr="005D1271">
        <w:t>, un nosaka piedāvājumu iesniegšanas un atvēršanas datumu, laiku, vietu un kārtību.</w:t>
      </w:r>
    </w:p>
    <w:p w:rsidR="00AB7F1E" w:rsidRDefault="00AB7F1E" w:rsidP="00190C4A">
      <w:pPr>
        <w:pStyle w:val="Galvene"/>
        <w:tabs>
          <w:tab w:val="left" w:pos="426"/>
          <w:tab w:val="left" w:pos="993"/>
        </w:tabs>
        <w:spacing w:line="360" w:lineRule="auto"/>
        <w:jc w:val="both"/>
        <w:rPr>
          <w:b/>
          <w:iCs/>
          <w:sz w:val="24"/>
          <w:szCs w:val="24"/>
          <w:lang w:val="lv-LV"/>
        </w:rPr>
      </w:pPr>
    </w:p>
    <w:p w:rsidR="00763D1E" w:rsidRPr="0026737F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t>V Izsoles protokola un rezultātu apstiprināšana</w:t>
      </w:r>
    </w:p>
    <w:p w:rsidR="00763D1E" w:rsidRPr="00FA7EBA" w:rsidRDefault="00066F72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>Komisija apstiprina izsoles protokolu 7 dienu laikā pēc izsoles.</w:t>
      </w:r>
    </w:p>
    <w:p w:rsidR="00763D1E" w:rsidRPr="00F257FD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Izsoles rezultātu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apstiprina Pašvaldības dome ne vēlāk kā 30 dienu laikā pēc visas </w:t>
      </w:r>
      <w:r w:rsidR="007D5B2D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pirkuma summas samaksāšanas.</w:t>
      </w:r>
    </w:p>
    <w:p w:rsidR="00763D1E" w:rsidRPr="005A26C0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4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Izsoles dalībniekiem, kas nav nosolījuši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,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septiņu dienu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laikā </w:t>
      </w:r>
      <w:r w:rsidR="00763D1E" w:rsidRPr="00FE12D3">
        <w:rPr>
          <w:bCs/>
          <w:sz w:val="24"/>
        </w:rPr>
        <w:t xml:space="preserve">pēc izsoles </w:t>
      </w:r>
      <w:r w:rsidR="00763D1E">
        <w:rPr>
          <w:bCs/>
          <w:sz w:val="24"/>
        </w:rPr>
        <w:t xml:space="preserve">rezultātu </w:t>
      </w:r>
      <w:r w:rsidR="00763D1E" w:rsidRPr="00FE12D3">
        <w:rPr>
          <w:bCs/>
          <w:sz w:val="24"/>
        </w:rPr>
        <w:t xml:space="preserve">apstiprināšanas </w:t>
      </w:r>
      <w:r w:rsidR="00763D1E" w:rsidRPr="00FA7EBA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atmaksā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nodrošinājuma summu </w:t>
      </w:r>
      <w:r w:rsidR="00763D1E" w:rsidRPr="00FE12D3">
        <w:rPr>
          <w:bCs/>
          <w:sz w:val="24"/>
        </w:rPr>
        <w:t>ar pārskaitījumu izsoles dalībnieka norēķinu kontā</w:t>
      </w:r>
      <w:r w:rsidR="00763D1E">
        <w:rPr>
          <w:bCs/>
          <w:sz w:val="24"/>
        </w:rPr>
        <w:t>.</w:t>
      </w:r>
    </w:p>
    <w:p w:rsidR="00763D1E" w:rsidRDefault="00763D1E" w:rsidP="00190C4A">
      <w:pPr>
        <w:pStyle w:val="Galvene"/>
        <w:tabs>
          <w:tab w:val="left" w:pos="426"/>
          <w:tab w:val="left" w:pos="993"/>
        </w:tabs>
        <w:jc w:val="both"/>
        <w:rPr>
          <w:b/>
          <w:iCs/>
          <w:sz w:val="24"/>
          <w:szCs w:val="24"/>
          <w:lang w:val="lv-LV"/>
        </w:rPr>
      </w:pPr>
    </w:p>
    <w:p w:rsidR="00763D1E" w:rsidRPr="0026737F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t>VI Nenotikušas izsoles</w:t>
      </w:r>
    </w:p>
    <w:p w:rsidR="00763D1E" w:rsidRPr="00D145BC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5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Ja izsolei nav pieteicies neviens dalībnieks, neviens pircējs nav pārsolījis izsoles sākumcenu vai arī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nosolītājs nav samaksājis</w:t>
      </w:r>
      <w:r w:rsidR="00763D1E" w:rsidRPr="00835C7E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nosolīto cenu, izsole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atzīstama par nenotikušu.</w:t>
      </w:r>
    </w:p>
    <w:p w:rsidR="00763D1E" w:rsidRDefault="008B695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6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Ja izsole atzīta par nenotikušu, 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omisija lemj par atkārtotas izsoles rīkošanu </w:t>
      </w:r>
      <w:r w:rsidR="00BE0364">
        <w:rPr>
          <w:rFonts w:ascii="TimesNewRomanPSMT" w:eastAsia="TimesNewRomanPS-BoldMT" w:hAnsi="TimesNewRomanPSMT"/>
          <w:sz w:val="24"/>
          <w:szCs w:val="24"/>
          <w:lang w:eastAsia="en-US"/>
        </w:rPr>
        <w:t>likuma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un šo noteikumu noteiktajā kārtībā.</w:t>
      </w:r>
    </w:p>
    <w:p w:rsidR="00763D1E" w:rsidRDefault="00763D1E" w:rsidP="00190C4A">
      <w:pPr>
        <w:tabs>
          <w:tab w:val="left" w:pos="426"/>
          <w:tab w:val="left" w:pos="993"/>
        </w:tabs>
        <w:jc w:val="both"/>
        <w:rPr>
          <w:rFonts w:eastAsia="TimesNewRomanPS-BoldMT"/>
          <w:sz w:val="24"/>
          <w:szCs w:val="24"/>
          <w:lang w:eastAsia="en-US"/>
        </w:rPr>
      </w:pPr>
    </w:p>
    <w:p w:rsidR="00B30ADE" w:rsidRPr="00FF7A37" w:rsidRDefault="00763D1E" w:rsidP="00190C4A">
      <w:pPr>
        <w:pStyle w:val="Galvene"/>
        <w:tabs>
          <w:tab w:val="left" w:pos="426"/>
          <w:tab w:val="left" w:pos="993"/>
        </w:tabs>
        <w:spacing w:line="360" w:lineRule="auto"/>
        <w:jc w:val="center"/>
        <w:rPr>
          <w:b/>
          <w:iCs/>
          <w:sz w:val="24"/>
          <w:szCs w:val="24"/>
          <w:lang w:val="lv-LV"/>
        </w:rPr>
      </w:pPr>
      <w:r w:rsidRPr="0026737F">
        <w:rPr>
          <w:b/>
          <w:iCs/>
          <w:sz w:val="24"/>
          <w:szCs w:val="24"/>
          <w:lang w:val="lv-LV"/>
        </w:rPr>
        <w:t xml:space="preserve">VII Norēķini par </w:t>
      </w:r>
      <w:r w:rsidR="00075309">
        <w:rPr>
          <w:b/>
          <w:iCs/>
          <w:sz w:val="24"/>
          <w:szCs w:val="24"/>
          <w:lang w:val="lv-LV"/>
        </w:rPr>
        <w:t>automašīnu</w:t>
      </w:r>
      <w:r w:rsidRPr="0026737F">
        <w:rPr>
          <w:b/>
          <w:iCs/>
          <w:sz w:val="24"/>
          <w:szCs w:val="24"/>
          <w:lang w:val="lv-LV"/>
        </w:rPr>
        <w:t>, maksāšanas līdzekļi un kārtība</w:t>
      </w:r>
    </w:p>
    <w:p w:rsidR="00763D1E" w:rsidRDefault="003E024F" w:rsidP="00190C4A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7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Izsoles dalībnieks, kas atzīts 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nosolītāju, personīgi vai ar 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>pilnvarotās personas</w:t>
      </w:r>
      <w:r w:rsidR="00763D1E" w:rsidRPr="006B61F1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starpniecību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pēc 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>izsoles</w:t>
      </w:r>
      <w:r w:rsidR="00763D1E" w:rsidRPr="006B61F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saņem rēķinu par izsolē iegūto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835C7E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FF7A37" w:rsidRPr="00835C7E" w:rsidRDefault="003E024F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lastRenderedPageBreak/>
        <w:t>2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8</w:t>
      </w:r>
      <w:r w:rsidR="00FF7A37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Par nosolīto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pircējs maksā</w:t>
      </w:r>
      <w:r w:rsidR="00FB6F28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FB6F28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>ar pārskaitījumu</w:t>
      </w:r>
      <w:r w:rsidR="00FF7A37" w:rsidRPr="005D1271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eiro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FF7A37" w:rsidRDefault="003E024F" w:rsidP="00190C4A">
      <w:pPr>
        <w:tabs>
          <w:tab w:val="left" w:pos="426"/>
          <w:tab w:val="left" w:pos="993"/>
        </w:tabs>
        <w:jc w:val="both"/>
        <w:rPr>
          <w:bCs/>
          <w:sz w:val="24"/>
        </w:rPr>
      </w:pPr>
      <w:r>
        <w:rPr>
          <w:b/>
          <w:bCs/>
          <w:sz w:val="24"/>
        </w:rPr>
        <w:t>2</w:t>
      </w:r>
      <w:r w:rsidR="00922954">
        <w:rPr>
          <w:b/>
          <w:bCs/>
          <w:sz w:val="24"/>
        </w:rPr>
        <w:t>9</w:t>
      </w:r>
      <w:r w:rsidR="00FF7A37" w:rsidRPr="00A86F28">
        <w:rPr>
          <w:b/>
          <w:bCs/>
          <w:sz w:val="24"/>
        </w:rPr>
        <w:t>.</w:t>
      </w:r>
      <w:r w:rsidR="00FF7A37">
        <w:rPr>
          <w:bCs/>
          <w:sz w:val="24"/>
        </w:rPr>
        <w:t> 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Piedāvātā augstākā cena jāsamaksā līdz </w:t>
      </w:r>
      <w:r w:rsidR="00BE4799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2</w:t>
      </w:r>
      <w:r w:rsidR="007F7DD6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1</w:t>
      </w:r>
      <w:r w:rsidR="004F25B9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.0</w:t>
      </w:r>
      <w:r w:rsidR="007F7DD6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8</w:t>
      </w:r>
      <w:r w:rsidR="00FF7A37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.20</w:t>
      </w:r>
      <w:r w:rsidR="004F25B9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20</w:t>
      </w:r>
      <w:r w:rsidR="00FF7A37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  <w:r w:rsidR="00FF7A3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FF7A37">
        <w:rPr>
          <w:rFonts w:eastAsia="TimesNewRomanPS-BoldMT"/>
          <w:sz w:val="24"/>
          <w:szCs w:val="24"/>
          <w:lang w:eastAsia="en-US"/>
        </w:rPr>
        <w:t xml:space="preserve">Pašvaldības </w:t>
      </w:r>
      <w:r w:rsidR="00FF7A37" w:rsidRPr="0052342C">
        <w:rPr>
          <w:bCs/>
          <w:sz w:val="24"/>
        </w:rPr>
        <w:t xml:space="preserve">norēķinu kontā </w:t>
      </w:r>
      <w:r w:rsidR="00FF7A37" w:rsidRPr="00D44A11">
        <w:rPr>
          <w:sz w:val="24"/>
          <w:szCs w:val="24"/>
        </w:rPr>
        <w:t>a/s „</w:t>
      </w:r>
      <w:proofErr w:type="spellStart"/>
      <w:r w:rsidR="00FF7A37" w:rsidRPr="00D44A11">
        <w:rPr>
          <w:sz w:val="24"/>
          <w:szCs w:val="24"/>
        </w:rPr>
        <w:t>Swedbank</w:t>
      </w:r>
      <w:proofErr w:type="spellEnd"/>
      <w:r w:rsidR="00FF7A37" w:rsidRPr="00D44A11">
        <w:rPr>
          <w:sz w:val="24"/>
          <w:szCs w:val="24"/>
        </w:rPr>
        <w:t xml:space="preserve">”, bankas kods: HABALV22, konts: LV72 HABA 0551 0258 9898 2 vai </w:t>
      </w:r>
      <w:r w:rsidR="00FF7A37" w:rsidRPr="00D44A11">
        <w:rPr>
          <w:bCs/>
          <w:sz w:val="24"/>
        </w:rPr>
        <w:t xml:space="preserve">a/s „Citadele banka”, bankas kods: PARXLV22, konts: LV65 PARX 0007 5064 9000 2. </w:t>
      </w:r>
      <w:r w:rsidR="00FF7A37" w:rsidRPr="00D44A11">
        <w:rPr>
          <w:b/>
          <w:bCs/>
          <w:sz w:val="24"/>
        </w:rPr>
        <w:t>Maksājuma mērķī jānorāda</w:t>
      </w:r>
      <w:r w:rsidR="00FF7A37" w:rsidRPr="00750ADD">
        <w:rPr>
          <w:bCs/>
          <w:sz w:val="24"/>
        </w:rPr>
        <w:t xml:space="preserve"> </w:t>
      </w:r>
      <w:r w:rsidR="00FF7A37">
        <w:rPr>
          <w:b/>
          <w:bCs/>
          <w:sz w:val="24"/>
        </w:rPr>
        <w:t>„</w:t>
      </w:r>
      <w:r w:rsidR="00075309">
        <w:rPr>
          <w:b/>
          <w:bCs/>
          <w:sz w:val="24"/>
        </w:rPr>
        <w:t>Automašīnas</w:t>
      </w:r>
      <w:r w:rsidR="00FF7A37" w:rsidRPr="003E024F">
        <w:rPr>
          <w:b/>
          <w:bCs/>
          <w:sz w:val="24"/>
        </w:rPr>
        <w:t xml:space="preserve"> izsole</w:t>
      </w:r>
      <w:r w:rsidR="00FF7A37" w:rsidRPr="00E25367">
        <w:rPr>
          <w:b/>
          <w:bCs/>
          <w:sz w:val="24"/>
        </w:rPr>
        <w:t>”</w:t>
      </w:r>
      <w:r w:rsidR="00FF7A37">
        <w:rPr>
          <w:bCs/>
          <w:sz w:val="24"/>
        </w:rPr>
        <w:t>.</w:t>
      </w:r>
    </w:p>
    <w:p w:rsidR="00B30ADE" w:rsidRPr="003E024F" w:rsidRDefault="00922954" w:rsidP="00190C4A">
      <w:pPr>
        <w:tabs>
          <w:tab w:val="left" w:pos="426"/>
          <w:tab w:val="left" w:pos="993"/>
        </w:tabs>
        <w:jc w:val="both"/>
        <w:rPr>
          <w:bCs/>
          <w:sz w:val="24"/>
        </w:rPr>
      </w:pPr>
      <w:r>
        <w:rPr>
          <w:b/>
          <w:bCs/>
          <w:sz w:val="24"/>
        </w:rPr>
        <w:t>30</w:t>
      </w:r>
      <w:r w:rsidR="00FF7A37" w:rsidRPr="00C8552B">
        <w:rPr>
          <w:b/>
          <w:bCs/>
          <w:sz w:val="24"/>
        </w:rPr>
        <w:t xml:space="preserve">. </w:t>
      </w:r>
      <w:r w:rsidR="000B767E">
        <w:rPr>
          <w:bCs/>
          <w:sz w:val="24"/>
        </w:rPr>
        <w:t xml:space="preserve">Iemaksātais </w:t>
      </w:r>
      <w:r w:rsidR="00FF7A37">
        <w:rPr>
          <w:bCs/>
          <w:sz w:val="24"/>
        </w:rPr>
        <w:t>nodrošinājums tiek ieskaitīts pirkuma summā.</w:t>
      </w:r>
    </w:p>
    <w:p w:rsidR="00763D1E" w:rsidRPr="00CF0289" w:rsidRDefault="00947071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1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 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Pašvaldība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ar izsoles dalībnieku, kurš nosolījis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, pēc izsoles</w:t>
      </w:r>
      <w:r w:rsidR="00763D1E" w:rsidRPr="00CF0289">
        <w:rPr>
          <w:rFonts w:eastAsia="TimesNewRomanPS-BoldMT"/>
          <w:sz w:val="24"/>
          <w:szCs w:val="24"/>
          <w:lang w:eastAsia="en-US"/>
        </w:rPr>
        <w:t xml:space="preserve"> 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re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zultātu apstiprināšanas d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omē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30 dienu laikā paraksta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pirkuma līgumu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(</w:t>
      </w:r>
      <w:r w:rsidR="003050D8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3. 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>pielikum</w:t>
      </w:r>
      <w:r w:rsidR="003050D8">
        <w:rPr>
          <w:rFonts w:ascii="TimesNewRomanPSMT" w:eastAsia="TimesNewRomanPS-BoldMT" w:hAnsi="TimesNewRomanPSMT"/>
          <w:sz w:val="24"/>
          <w:szCs w:val="24"/>
          <w:lang w:eastAsia="en-US"/>
        </w:rPr>
        <w:t>s</w:t>
      </w:r>
      <w:r w:rsidR="00A44775">
        <w:rPr>
          <w:rFonts w:ascii="TimesNewRomanPSMT" w:eastAsia="TimesNewRomanPS-BoldMT" w:hAnsi="TimesNewRomanPSMT"/>
          <w:sz w:val="24"/>
          <w:szCs w:val="24"/>
          <w:lang w:eastAsia="en-US"/>
        </w:rPr>
        <w:t>)</w:t>
      </w:r>
      <w:r w:rsidR="00763D1E" w:rsidRPr="00CF0289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</w:p>
    <w:p w:rsidR="00763D1E" w:rsidRPr="00103B29" w:rsidRDefault="00947071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2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 Ja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nosolījušais izsoles dalībnieks </w:t>
      </w:r>
      <w:r w:rsidR="00FB6F28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līdz </w:t>
      </w:r>
      <w:r w:rsidR="00BE4799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2</w:t>
      </w:r>
      <w:r w:rsidR="007F7DD6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1</w:t>
      </w:r>
      <w:r w:rsidR="00832AFD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.0</w:t>
      </w:r>
      <w:r w:rsidR="007F7DD6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8</w:t>
      </w:r>
      <w:r w:rsidR="00832AFD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.2020</w:t>
      </w:r>
      <w:r w:rsidR="00FB6F28" w:rsidRPr="00A72E54">
        <w:rPr>
          <w:rFonts w:ascii="TimesNewRomanPSMT" w:eastAsia="TimesNewRomanPS-BoldMT" w:hAnsi="TimesNewRomanPSMT"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nav norēķinājies</w:t>
      </w:r>
      <w:r w:rsidR="00763D1E">
        <w:rPr>
          <w:rFonts w:eastAsia="TimesNewRomanPS-BoldMT"/>
          <w:sz w:val="24"/>
          <w:szCs w:val="24"/>
          <w:lang w:eastAsia="en-US"/>
        </w:rPr>
        <w:t xml:space="preserve">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šajos noteikumos minēta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jā kārtībā, 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dalībnieks</w:t>
      </w:r>
      <w:r w:rsidR="00B34696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zaudē tiesības uz to. Nodrošinājuma summu attiecīgajam dalībniekam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neatmaksā.</w:t>
      </w:r>
    </w:p>
    <w:p w:rsidR="00763D1E" w:rsidRPr="009C1B07" w:rsidRDefault="003E024F" w:rsidP="00B34696">
      <w:pPr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nosolītājs atsakās parakstīt pirkuma līgumu, 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nosolītājs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zaudē tiesības uz nosolīto</w:t>
      </w:r>
      <w:r w:rsidR="00763D1E" w:rsidRPr="009C1B07">
        <w:rPr>
          <w:rFonts w:eastAsia="TimesNewRomanPS-BoldMT"/>
          <w:sz w:val="24"/>
          <w:szCs w:val="24"/>
          <w:lang w:eastAsia="en-US"/>
        </w:rPr>
        <w:t xml:space="preserve">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 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Nodrošinājuma summu šādam dalībniekam neatmaksā.</w:t>
      </w:r>
    </w:p>
    <w:p w:rsidR="00763D1E" w:rsidRPr="00B8524D" w:rsidRDefault="00BE0364" w:rsidP="00B34696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4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nosolījušais izsoles dalībnieks ir zaudējis tiesības uz nosolīto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, par to informē izsoles dalībnieku, kurš nosolījis nākamo augstāko cenu, un šim izsoles dalībniekam ir tiesības divu nedēļu laikā no izsoles komisijas paziņojuma saņemšanas dienas rakstiski apliecināt izsoles rīkotājam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automašīnas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pirkšanu par paša nosolīto augstāko cenu. Pēc rakstiska apliecinājuma saņemšanas šim izsoles </w:t>
      </w:r>
      <w:r w:rsidR="00763D1E" w:rsidRPr="00B644D4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dalībniekam izsniedz šo noteikumu </w:t>
      </w:r>
      <w:r w:rsidR="001E21DB">
        <w:rPr>
          <w:rFonts w:ascii="TimesNewRomanPSMT" w:eastAsia="TimesNewRomanPS-BoldMT" w:hAnsi="TimesNewRomanPSMT"/>
          <w:sz w:val="24"/>
          <w:szCs w:val="24"/>
          <w:lang w:eastAsia="en-US"/>
        </w:rPr>
        <w:t>2</w:t>
      </w:r>
      <w:r w:rsidR="00B44C95">
        <w:rPr>
          <w:rFonts w:ascii="TimesNewRomanPSMT" w:eastAsia="TimesNewRomanPS-BoldMT" w:hAnsi="TimesNewRomanPSMT"/>
          <w:sz w:val="24"/>
          <w:szCs w:val="24"/>
          <w:lang w:eastAsia="en-US"/>
        </w:rPr>
        <w:t>7</w:t>
      </w:r>
      <w:r w:rsidR="00763D1E" w:rsidRPr="00B644D4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. punktā minēto </w:t>
      </w:r>
      <w:r w:rsidR="00763D1E" w:rsidRPr="00B8524D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rēķinu. Pircējs par </w:t>
      </w:r>
      <w:r w:rsidR="00075309">
        <w:rPr>
          <w:rFonts w:ascii="TimesNewRomanPSMT" w:eastAsia="TimesNewRomanPS-BoldMT" w:hAnsi="TimesNewRomanPSMT"/>
          <w:sz w:val="24"/>
          <w:szCs w:val="24"/>
          <w:lang w:eastAsia="en-US"/>
        </w:rPr>
        <w:t>automašīnu</w:t>
      </w:r>
      <w:r w:rsidR="00763D1E" w:rsidRPr="00B8524D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 norēķinās un pirkuma līgumu slēdz likuma un šo noteikumu paredzētajā kārtībā.</w:t>
      </w:r>
    </w:p>
    <w:p w:rsidR="00763D1E" w:rsidRPr="009C1B07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5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Ja persona, kura uzaicināta slēgt pirkuma līgumu, rakstveidā atsakās to noslēgt vai </w:t>
      </w:r>
      <w:r w:rsidR="001E21DB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divu nedēļu </w:t>
      </w:r>
      <w:r w:rsidR="00763D1E" w:rsidRPr="009C1B07">
        <w:rPr>
          <w:rFonts w:ascii="TimesNewRomanPSMT" w:eastAsia="TimesNewRomanPS-BoldMT" w:hAnsi="TimesNewRomanPSMT"/>
          <w:sz w:val="24"/>
          <w:szCs w:val="24"/>
          <w:lang w:eastAsia="en-US"/>
        </w:rPr>
        <w:t>laikā nedod atbildi uz uzaicinājumu, tas tiek uzskatīts par atteikumu slēgt līgumu. Tādā gadījumā tiek rīkota atkārtota izsole likumā paredzētajā kārtībā.</w:t>
      </w:r>
    </w:p>
    <w:p w:rsidR="00763D1E" w:rsidRDefault="00763D1E" w:rsidP="00190C4A">
      <w:pPr>
        <w:tabs>
          <w:tab w:val="left" w:pos="426"/>
          <w:tab w:val="left" w:pos="993"/>
        </w:tabs>
        <w:jc w:val="both"/>
        <w:rPr>
          <w:rFonts w:ascii="TimesNewRomanPSMT" w:eastAsia="TimesNewRomanPS-BoldMT" w:hAnsi="TimesNewRomanPSMT"/>
          <w:sz w:val="24"/>
          <w:szCs w:val="24"/>
          <w:lang w:eastAsia="en-US"/>
        </w:rPr>
      </w:pPr>
    </w:p>
    <w:p w:rsidR="00763D1E" w:rsidRPr="0026737F" w:rsidRDefault="00763D1E" w:rsidP="00190C4A">
      <w:pPr>
        <w:tabs>
          <w:tab w:val="left" w:pos="426"/>
          <w:tab w:val="left" w:pos="993"/>
        </w:tabs>
        <w:spacing w:line="360" w:lineRule="auto"/>
        <w:jc w:val="center"/>
        <w:rPr>
          <w:rFonts w:eastAsia="TimesNewRomanPS-BoldMT"/>
          <w:b/>
          <w:sz w:val="24"/>
          <w:szCs w:val="24"/>
          <w:lang w:eastAsia="en-US"/>
        </w:rPr>
      </w:pPr>
      <w:r w:rsidRPr="0026737F">
        <w:rPr>
          <w:rFonts w:ascii="TimesNewRomanPSMT" w:eastAsia="TimesNewRomanPS-BoldMT" w:hAnsi="TimesNewRomanPSMT"/>
          <w:b/>
          <w:sz w:val="24"/>
          <w:szCs w:val="24"/>
          <w:lang w:eastAsia="en-US"/>
        </w:rPr>
        <w:t>VIII Nobeiguma noteikumi</w:t>
      </w:r>
    </w:p>
    <w:p w:rsidR="00763D1E" w:rsidRPr="00CB46F0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6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 Izsoles dalībniekiem ir tiesības iesniegt sūdzību Pašvaldības domei par </w:t>
      </w:r>
      <w:r w:rsidR="00AA1BC6"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 xml:space="preserve">omisijas darbībām līdz izsoles rezultātu apstiprināšanas dienai. Ja </w:t>
      </w:r>
      <w:r>
        <w:rPr>
          <w:rFonts w:ascii="TimesNewRomanPSMT" w:eastAsia="TimesNewRomanPS-BoldMT" w:hAnsi="TimesNewRomanPSMT"/>
          <w:sz w:val="24"/>
          <w:szCs w:val="24"/>
          <w:lang w:eastAsia="en-US"/>
        </w:rPr>
        <w:t>K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omisijas lēmums tiek pārsūdzēts, attiecīgi pagarinās izsoles noteikumos noteiktie termiņi.</w:t>
      </w:r>
    </w:p>
    <w:p w:rsidR="00763D1E" w:rsidRPr="00C67E19" w:rsidRDefault="00BE0364" w:rsidP="00190C4A">
      <w:pPr>
        <w:jc w:val="both"/>
        <w:rPr>
          <w:rFonts w:eastAsia="TimesNewRomanPS-BoldMT"/>
          <w:sz w:val="24"/>
          <w:szCs w:val="24"/>
          <w:lang w:eastAsia="en-US"/>
        </w:rPr>
      </w:pPr>
      <w:r>
        <w:rPr>
          <w:rFonts w:ascii="TimesNewRomanPSMT" w:eastAsia="TimesNewRomanPS-BoldMT" w:hAnsi="TimesNewRomanPSMT"/>
          <w:b/>
          <w:sz w:val="24"/>
          <w:szCs w:val="24"/>
          <w:lang w:eastAsia="en-US"/>
        </w:rPr>
        <w:t>3</w:t>
      </w:r>
      <w:r w:rsidR="00922954">
        <w:rPr>
          <w:rFonts w:ascii="TimesNewRomanPSMT" w:eastAsia="TimesNewRomanPS-BoldMT" w:hAnsi="TimesNewRomanPSMT"/>
          <w:b/>
          <w:sz w:val="24"/>
          <w:szCs w:val="24"/>
          <w:lang w:eastAsia="en-US"/>
        </w:rPr>
        <w:t>7</w:t>
      </w:r>
      <w:r w:rsidR="00763D1E" w:rsidRPr="005017DC">
        <w:rPr>
          <w:rFonts w:ascii="TimesNewRomanPSMT" w:eastAsia="TimesNewRomanPS-BoldMT" w:hAnsi="TimesNewRomanPSMT"/>
          <w:b/>
          <w:sz w:val="24"/>
          <w:szCs w:val="24"/>
          <w:lang w:eastAsia="en-US"/>
        </w:rPr>
        <w:t>.</w:t>
      </w:r>
      <w:r w:rsidR="00763D1E">
        <w:rPr>
          <w:rFonts w:ascii="TimesNewRomanPSMT" w:eastAsia="TimesNewRomanPS-BoldMT" w:hAnsi="TimesNewRomanPSMT"/>
          <w:sz w:val="24"/>
          <w:szCs w:val="24"/>
          <w:lang w:eastAsia="en-US"/>
        </w:rPr>
        <w:t> Par šajos noteikumos nereglamentētiem jautājumiem lēmumus pieņem Komisija, par tiem izdarot attiecīgu ierakstu izsoles protokolā.</w:t>
      </w:r>
    </w:p>
    <w:p w:rsidR="0024611E" w:rsidRDefault="0024611E" w:rsidP="00190C4A">
      <w:pPr>
        <w:jc w:val="both"/>
        <w:rPr>
          <w:sz w:val="24"/>
          <w:szCs w:val="24"/>
        </w:rPr>
      </w:pP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Pr="003F4F47" w:rsidRDefault="003E024F" w:rsidP="00190C4A">
      <w:pPr>
        <w:tabs>
          <w:tab w:val="left" w:pos="426"/>
          <w:tab w:val="left" w:pos="993"/>
        </w:tabs>
        <w:jc w:val="both"/>
        <w:rPr>
          <w:sz w:val="24"/>
          <w:szCs w:val="24"/>
        </w:rPr>
      </w:pPr>
      <w:r w:rsidRPr="003F4F47">
        <w:rPr>
          <w:sz w:val="24"/>
          <w:szCs w:val="24"/>
        </w:rPr>
        <w:t>Pielikumā:</w:t>
      </w:r>
    </w:p>
    <w:p w:rsidR="003E024F" w:rsidRPr="003F4F47" w:rsidRDefault="003E024F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Pieteikums dalībai izsolē.</w:t>
      </w:r>
    </w:p>
    <w:p w:rsidR="003E024F" w:rsidRDefault="00AA1BC6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Piedāvāto cenu</w:t>
      </w:r>
      <w:r w:rsidR="003E024F" w:rsidRPr="003F4F47">
        <w:rPr>
          <w:sz w:val="24"/>
          <w:szCs w:val="24"/>
        </w:rPr>
        <w:t xml:space="preserve"> sarakst</w:t>
      </w:r>
      <w:r w:rsidR="003E024F">
        <w:rPr>
          <w:sz w:val="24"/>
          <w:szCs w:val="24"/>
        </w:rPr>
        <w:t>s.</w:t>
      </w:r>
    </w:p>
    <w:p w:rsidR="003E024F" w:rsidRPr="003F4F47" w:rsidRDefault="003E024F" w:rsidP="00190C4A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Pirkuma līgums.</w:t>
      </w: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Default="003E024F" w:rsidP="00190C4A">
      <w:pPr>
        <w:tabs>
          <w:tab w:val="left" w:pos="426"/>
          <w:tab w:val="left" w:pos="993"/>
        </w:tabs>
        <w:jc w:val="both"/>
      </w:pPr>
    </w:p>
    <w:p w:rsidR="003E024F" w:rsidRPr="008B5721" w:rsidRDefault="003E024F" w:rsidP="00190C4A">
      <w:pPr>
        <w:tabs>
          <w:tab w:val="left" w:pos="426"/>
          <w:tab w:val="left" w:pos="993"/>
        </w:tabs>
        <w:jc w:val="both"/>
        <w:rPr>
          <w:sz w:val="24"/>
          <w:szCs w:val="24"/>
        </w:rPr>
      </w:pPr>
      <w:r w:rsidRPr="008B5721">
        <w:rPr>
          <w:sz w:val="24"/>
          <w:szCs w:val="24"/>
        </w:rPr>
        <w:t>Komisijas priekšsēdētāj</w:t>
      </w:r>
      <w:r w:rsidR="00075309"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AFD">
        <w:rPr>
          <w:sz w:val="24"/>
          <w:szCs w:val="24"/>
        </w:rPr>
        <w:t>Inga Ralle</w:t>
      </w:r>
    </w:p>
    <w:p w:rsidR="003E024F" w:rsidRPr="0086371C" w:rsidRDefault="003E024F" w:rsidP="00190C4A">
      <w:pPr>
        <w:jc w:val="both"/>
        <w:rPr>
          <w:sz w:val="24"/>
          <w:szCs w:val="24"/>
        </w:rPr>
      </w:pPr>
    </w:p>
    <w:sectPr w:rsidR="003E024F" w:rsidRPr="0086371C" w:rsidSect="008637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-Bold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1009"/>
    <w:multiLevelType w:val="hybridMultilevel"/>
    <w:tmpl w:val="B2DE9C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6371C"/>
    <w:rsid w:val="00022779"/>
    <w:rsid w:val="000359D4"/>
    <w:rsid w:val="00042C3E"/>
    <w:rsid w:val="00064304"/>
    <w:rsid w:val="00066F72"/>
    <w:rsid w:val="00073394"/>
    <w:rsid w:val="00075309"/>
    <w:rsid w:val="000829CC"/>
    <w:rsid w:val="000B767E"/>
    <w:rsid w:val="000D401E"/>
    <w:rsid w:val="000F616A"/>
    <w:rsid w:val="001069DF"/>
    <w:rsid w:val="00111072"/>
    <w:rsid w:val="00132165"/>
    <w:rsid w:val="00156D65"/>
    <w:rsid w:val="0017162B"/>
    <w:rsid w:val="00190C4A"/>
    <w:rsid w:val="001D1FDE"/>
    <w:rsid w:val="001E21DB"/>
    <w:rsid w:val="00205883"/>
    <w:rsid w:val="00216414"/>
    <w:rsid w:val="00241C52"/>
    <w:rsid w:val="0024611E"/>
    <w:rsid w:val="0026453F"/>
    <w:rsid w:val="002A2E55"/>
    <w:rsid w:val="002E5E77"/>
    <w:rsid w:val="003009EC"/>
    <w:rsid w:val="003050D8"/>
    <w:rsid w:val="00306368"/>
    <w:rsid w:val="003435C5"/>
    <w:rsid w:val="00374B69"/>
    <w:rsid w:val="003E024F"/>
    <w:rsid w:val="003F19B2"/>
    <w:rsid w:val="004118D9"/>
    <w:rsid w:val="00433B22"/>
    <w:rsid w:val="0045604F"/>
    <w:rsid w:val="004610C8"/>
    <w:rsid w:val="0046387E"/>
    <w:rsid w:val="00486AF3"/>
    <w:rsid w:val="004B26F1"/>
    <w:rsid w:val="004D2D34"/>
    <w:rsid w:val="004F25B9"/>
    <w:rsid w:val="004F5CA7"/>
    <w:rsid w:val="004F7FC0"/>
    <w:rsid w:val="00505A64"/>
    <w:rsid w:val="005462FF"/>
    <w:rsid w:val="0058387D"/>
    <w:rsid w:val="0059300D"/>
    <w:rsid w:val="005C529D"/>
    <w:rsid w:val="005D1271"/>
    <w:rsid w:val="005D1DB9"/>
    <w:rsid w:val="005F385A"/>
    <w:rsid w:val="005F442C"/>
    <w:rsid w:val="00763D1E"/>
    <w:rsid w:val="00786016"/>
    <w:rsid w:val="007A7039"/>
    <w:rsid w:val="007D5B2D"/>
    <w:rsid w:val="007F7DD6"/>
    <w:rsid w:val="00832AFD"/>
    <w:rsid w:val="0083473A"/>
    <w:rsid w:val="0083665E"/>
    <w:rsid w:val="008407B1"/>
    <w:rsid w:val="00847204"/>
    <w:rsid w:val="0086031B"/>
    <w:rsid w:val="00861316"/>
    <w:rsid w:val="0086371C"/>
    <w:rsid w:val="00887816"/>
    <w:rsid w:val="008B6954"/>
    <w:rsid w:val="008C61E2"/>
    <w:rsid w:val="008D6422"/>
    <w:rsid w:val="008F04A2"/>
    <w:rsid w:val="008F448D"/>
    <w:rsid w:val="00922954"/>
    <w:rsid w:val="00931BF6"/>
    <w:rsid w:val="00947071"/>
    <w:rsid w:val="00951F01"/>
    <w:rsid w:val="00980593"/>
    <w:rsid w:val="009A53B6"/>
    <w:rsid w:val="00A17C49"/>
    <w:rsid w:val="00A21AE3"/>
    <w:rsid w:val="00A228CE"/>
    <w:rsid w:val="00A44775"/>
    <w:rsid w:val="00A72E54"/>
    <w:rsid w:val="00A74B48"/>
    <w:rsid w:val="00A871B2"/>
    <w:rsid w:val="00AA1BC6"/>
    <w:rsid w:val="00AA373C"/>
    <w:rsid w:val="00AB595B"/>
    <w:rsid w:val="00AB7F1E"/>
    <w:rsid w:val="00AC7D4B"/>
    <w:rsid w:val="00AD5370"/>
    <w:rsid w:val="00B30381"/>
    <w:rsid w:val="00B30ADE"/>
    <w:rsid w:val="00B34696"/>
    <w:rsid w:val="00B44C95"/>
    <w:rsid w:val="00B45FE0"/>
    <w:rsid w:val="00B634BD"/>
    <w:rsid w:val="00B64858"/>
    <w:rsid w:val="00BD24D2"/>
    <w:rsid w:val="00BE0364"/>
    <w:rsid w:val="00BE4799"/>
    <w:rsid w:val="00C20D7C"/>
    <w:rsid w:val="00C67960"/>
    <w:rsid w:val="00C77C52"/>
    <w:rsid w:val="00C84129"/>
    <w:rsid w:val="00CC5EF4"/>
    <w:rsid w:val="00CD6123"/>
    <w:rsid w:val="00D02CE5"/>
    <w:rsid w:val="00D32C9E"/>
    <w:rsid w:val="00D51AC9"/>
    <w:rsid w:val="00D77DA2"/>
    <w:rsid w:val="00D97000"/>
    <w:rsid w:val="00DD0AD5"/>
    <w:rsid w:val="00E302F1"/>
    <w:rsid w:val="00E96A95"/>
    <w:rsid w:val="00EB1745"/>
    <w:rsid w:val="00EC00F8"/>
    <w:rsid w:val="00EE2654"/>
    <w:rsid w:val="00F2057F"/>
    <w:rsid w:val="00F351EB"/>
    <w:rsid w:val="00F6406A"/>
    <w:rsid w:val="00FB4190"/>
    <w:rsid w:val="00FB5213"/>
    <w:rsid w:val="00FB6F28"/>
    <w:rsid w:val="00FC11D7"/>
    <w:rsid w:val="00FC4CB4"/>
    <w:rsid w:val="00FD2739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86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63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rastaisWeb">
    <w:name w:val="Normal (Web)"/>
    <w:basedOn w:val="Parastais"/>
    <w:unhideWhenUsed/>
    <w:rsid w:val="0086371C"/>
    <w:pPr>
      <w:spacing w:before="100" w:beforeAutospacing="1" w:after="100" w:afterAutospacing="1"/>
    </w:pPr>
    <w:rPr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6371C"/>
    <w:rPr>
      <w:color w:val="0000FF"/>
      <w:u w:val="single"/>
    </w:rPr>
  </w:style>
  <w:style w:type="paragraph" w:styleId="Galvene">
    <w:name w:val="header"/>
    <w:basedOn w:val="Parastais"/>
    <w:link w:val="GalveneRakstz"/>
    <w:uiPriority w:val="99"/>
    <w:rsid w:val="00847204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847204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7162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162B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C11D7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FC11D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C11D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11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11D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nda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6F3E-8BDE-43AC-B105-3BD8A6BB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5222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Daiga</cp:lastModifiedBy>
  <cp:revision>5</cp:revision>
  <cp:lastPrinted>2020-07-27T10:26:00Z</cp:lastPrinted>
  <dcterms:created xsi:type="dcterms:W3CDTF">2020-07-28T06:44:00Z</dcterms:created>
  <dcterms:modified xsi:type="dcterms:W3CDTF">2020-07-30T06:44:00Z</dcterms:modified>
</cp:coreProperties>
</file>