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1662747" cy="557245"/>
            <wp:effectExtent b="0" l="0" r="0" t="0"/>
            <wp:docPr descr="LV_logo1" id="1" name="image1.jpg"/>
            <a:graphic>
              <a:graphicData uri="http://schemas.openxmlformats.org/drawingml/2006/picture">
                <pic:pic>
                  <pic:nvPicPr>
                    <pic:cNvPr descr="LV_logo1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2747" cy="5572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="240" w:lineRule="auto"/>
        <w:ind w:right="-335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sz w:val="16"/>
          <w:szCs w:val="16"/>
          <w:rtl w:val="0"/>
        </w:rPr>
        <w:t xml:space="preserve">Latvijas Republikas oficiālais izdevējs </w:t>
      </w:r>
      <w:r w:rsidDel="00000000" w:rsidR="00000000" w:rsidRPr="00000000">
        <w:rPr>
          <w:sz w:val="18"/>
          <w:szCs w:val="18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</w:t>
      </w:r>
    </w:p>
    <w:p w:rsidR="00000000" w:rsidDel="00000000" w:rsidP="00000000" w:rsidRDefault="00000000" w:rsidRPr="00000000" w14:paraId="00000003">
      <w:pPr>
        <w:spacing w:after="120" w:line="240" w:lineRule="auto"/>
        <w:ind w:right="-335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„Ikvienam ir tiesības zināt savas tiesības”</w:t>
      </w:r>
    </w:p>
    <w:p w:rsidR="00000000" w:rsidDel="00000000" w:rsidP="00000000" w:rsidRDefault="00000000" w:rsidRPr="00000000" w14:paraId="00000004">
      <w:pPr>
        <w:spacing w:after="120" w:line="240" w:lineRule="auto"/>
        <w:ind w:right="-335"/>
        <w:jc w:val="right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(Latvijas Republikas Satversmes 90. pants)</w:t>
      </w:r>
    </w:p>
    <w:p w:rsidR="00000000" w:rsidDel="00000000" w:rsidP="00000000" w:rsidRDefault="00000000" w:rsidRPr="00000000" w14:paraId="00000005">
      <w:pPr>
        <w:spacing w:after="120" w:line="240" w:lineRule="auto"/>
        <w:ind w:right="-335"/>
        <w:jc w:val="right"/>
        <w:rPr/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 xml:space="preserve">                </w:t>
        <w:tab/>
        <w:tab/>
        <w:t xml:space="preserve">                   30.  decembris (2019)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line="276" w:lineRule="auto"/>
        <w:jc w:val="center"/>
        <w:rPr/>
      </w:pPr>
      <w:bookmarkStart w:colFirst="0" w:colLast="0" w:name="_um9zjccnz67n" w:id="0"/>
      <w:bookmarkEnd w:id="0"/>
      <w:r w:rsidDel="00000000" w:rsidR="00000000" w:rsidRPr="00000000">
        <w:rPr>
          <w:rtl w:val="0"/>
        </w:rPr>
        <w:t xml:space="preserve">1. janvārī stājas spēkā 30</w:t>
      </w:r>
      <w:r w:rsidDel="00000000" w:rsidR="00000000" w:rsidRPr="00000000">
        <w:rPr>
          <w:rtl w:val="0"/>
        </w:rPr>
        <w:t xml:space="preserve"> likumi un 72 Ministru kabineta noteikumi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2020. gada 1. janvārī stāsies spēkā </w:t>
      </w:r>
      <w:r w:rsidDel="00000000" w:rsidR="00000000" w:rsidRPr="00000000">
        <w:rPr>
          <w:b w:val="1"/>
          <w:rtl w:val="0"/>
        </w:rPr>
        <w:t xml:space="preserve">120</w:t>
      </w:r>
      <w:r w:rsidDel="00000000" w:rsidR="00000000" w:rsidRPr="00000000">
        <w:rPr>
          <w:b w:val="1"/>
          <w:rtl w:val="0"/>
        </w:rPr>
        <w:t xml:space="preserve"> tiesību akti, no tiem </w:t>
      </w:r>
      <w:r w:rsidDel="00000000" w:rsidR="00000000" w:rsidRPr="00000000">
        <w:rPr>
          <w:b w:val="1"/>
          <w:rtl w:val="0"/>
        </w:rPr>
        <w:t xml:space="preserve">30</w:t>
      </w:r>
      <w:r w:rsidDel="00000000" w:rsidR="00000000" w:rsidRPr="00000000">
        <w:rPr>
          <w:b w:val="1"/>
          <w:rtl w:val="0"/>
        </w:rPr>
        <w:t xml:space="preserve"> likumi un </w:t>
      </w:r>
      <w:r w:rsidDel="00000000" w:rsidR="00000000" w:rsidRPr="00000000">
        <w:rPr>
          <w:b w:val="1"/>
          <w:rtl w:val="0"/>
        </w:rPr>
        <w:t xml:space="preserve">72</w:t>
      </w:r>
      <w:r w:rsidDel="00000000" w:rsidR="00000000" w:rsidRPr="00000000">
        <w:rPr>
          <w:b w:val="1"/>
          <w:rtl w:val="0"/>
        </w:rPr>
        <w:t xml:space="preserve"> Ministru kabineta (MK) noteikumi, kas iepriekš publicēti oficiālajā izdevumā “Latvijas Vēstnesis”. Savukārt </w:t>
      </w:r>
      <w:r w:rsidDel="00000000" w:rsidR="00000000" w:rsidRPr="00000000">
        <w:rPr>
          <w:b w:val="1"/>
          <w:rtl w:val="0"/>
        </w:rPr>
        <w:t xml:space="preserve">34</w:t>
      </w:r>
      <w:r w:rsidDel="00000000" w:rsidR="00000000" w:rsidRPr="00000000">
        <w:rPr>
          <w:b w:val="1"/>
          <w:rtl w:val="0"/>
        </w:rPr>
        <w:t xml:space="preserve"> tiesību akti, sākoties 2020. gadam, zaudēs spēku.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30. decembrī nāca klajā otrs oficiālā izdevuma “Latvijas Vēstnesis” (pieejams vietnē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vestnesis.lv</w:t>
        </w:r>
      </w:hyperlink>
      <w:r w:rsidDel="00000000" w:rsidR="00000000" w:rsidRPr="00000000">
        <w:rPr>
          <w:rtl w:val="0"/>
        </w:rPr>
        <w:t xml:space="preserve">) laidiens ar oficiālajām publikācijām, noslēdzot 2019. gada oficiālo publikāciju izziņošanu. Gada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pēdējā laidienā</w:t>
        </w:r>
      </w:hyperlink>
      <w:r w:rsidDel="00000000" w:rsidR="00000000" w:rsidRPr="00000000">
        <w:rPr>
          <w:rtl w:val="0"/>
        </w:rPr>
        <w:t xml:space="preserve"> izsludināti 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tl w:val="0"/>
        </w:rPr>
        <w:t xml:space="preserve"> likumi, kā arī Ārlietu ministrijas informācija par ANO sankcijām.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Līdz ar to ir noslēdzies to tiesību aktu saraksts, kas stāsies spēkā 2020. gada 1. janvārī.  Tādu ir </w:t>
      </w:r>
      <w:r w:rsidDel="00000000" w:rsidR="00000000" w:rsidRPr="00000000">
        <w:rPr>
          <w:rtl w:val="0"/>
        </w:rPr>
        <w:t xml:space="preserve">120</w:t>
      </w:r>
      <w:r w:rsidDel="00000000" w:rsidR="00000000" w:rsidRPr="00000000">
        <w:rPr>
          <w:rtl w:val="0"/>
        </w:rPr>
        <w:t xml:space="preserve">. Tas ir </w:t>
      </w:r>
      <w:r w:rsidDel="00000000" w:rsidR="00000000" w:rsidRPr="00000000">
        <w:rPr>
          <w:rtl w:val="0"/>
        </w:rPr>
        <w:t xml:space="preserve">mazāk</w:t>
      </w:r>
      <w:r w:rsidDel="00000000" w:rsidR="00000000" w:rsidRPr="00000000">
        <w:rPr>
          <w:rtl w:val="0"/>
        </w:rPr>
        <w:t xml:space="preserve"> nekā pērn, kad 1. janvārī stājās spēkā 139 tiesību akti. 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i w:val="1"/>
          <w:rtl w:val="0"/>
        </w:rPr>
        <w:t xml:space="preserve">"Tāpat kā iepriekšējos gadus, arī šogad Jaungada dienā iedzīvotāji </w:t>
      </w:r>
      <w:r w:rsidDel="00000000" w:rsidR="00000000" w:rsidRPr="00000000">
        <w:rPr>
          <w:i w:val="1"/>
          <w:rtl w:val="0"/>
        </w:rPr>
        <w:t xml:space="preserve">visus tiesību aktus </w:t>
      </w:r>
      <w:r w:rsidDel="00000000" w:rsidR="00000000" w:rsidRPr="00000000">
        <w:rPr>
          <w:i w:val="1"/>
          <w:rtl w:val="0"/>
        </w:rPr>
        <w:t xml:space="preserve">vietnē </w:t>
      </w:r>
      <w:hyperlink r:id="rId9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Likumi.lv</w:t>
        </w:r>
      </w:hyperlink>
      <w:r w:rsidDel="00000000" w:rsidR="00000000" w:rsidRPr="00000000">
        <w:rPr>
          <w:i w:val="1"/>
          <w:rtl w:val="0"/>
        </w:rPr>
        <w:t xml:space="preserve"> var lietot jau to aktuālajā redakcijā, tas ir, ar iekļautajām izmaiņām,” </w:t>
      </w:r>
      <w:r w:rsidDel="00000000" w:rsidR="00000000" w:rsidRPr="00000000">
        <w:rPr>
          <w:rtl w:val="0"/>
        </w:rPr>
        <w:t xml:space="preserve">apstiprina VSIA “Latvijas Vēstnesis” Tiesību aktu sistematizācijas daļas vadītāja</w:t>
      </w:r>
      <w:r w:rsidDel="00000000" w:rsidR="00000000" w:rsidRPr="00000000">
        <w:rPr>
          <w:b w:val="1"/>
          <w:rtl w:val="0"/>
        </w:rPr>
        <w:t xml:space="preserve"> Sandra Zālīte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Kopumā 2019. gadā iznākuši </w:t>
      </w:r>
      <w:r w:rsidDel="00000000" w:rsidR="00000000" w:rsidRPr="00000000">
        <w:rPr>
          <w:rtl w:val="0"/>
        </w:rPr>
        <w:t xml:space="preserve">270</w:t>
      </w:r>
      <w:r w:rsidDel="00000000" w:rsidR="00000000" w:rsidRPr="00000000">
        <w:rPr>
          <w:rtl w:val="0"/>
        </w:rPr>
        <w:t xml:space="preserve"> “Latvijas Vēstneša” laidieni ar tiesību aktiem, oficiālo informāciju un paziņojumiem. Šogad oficiālajā izdevumā publicēti: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335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tiesību akti un oficiālā informācija, t. sk. </w:t>
      </w:r>
      <w:r w:rsidDel="00000000" w:rsidR="00000000" w:rsidRPr="00000000">
        <w:rPr>
          <w:rtl w:val="0"/>
        </w:rPr>
        <w:t xml:space="preserve">296</w:t>
      </w:r>
      <w:r w:rsidDel="00000000" w:rsidR="00000000" w:rsidRPr="00000000">
        <w:rPr>
          <w:rtl w:val="0"/>
        </w:rPr>
        <w:t xml:space="preserve"> likumi, </w:t>
      </w:r>
      <w:r w:rsidDel="00000000" w:rsidR="00000000" w:rsidRPr="00000000">
        <w:rPr>
          <w:rtl w:val="0"/>
        </w:rPr>
        <w:t xml:space="preserve">687</w:t>
      </w:r>
      <w:r w:rsidDel="00000000" w:rsidR="00000000" w:rsidRPr="00000000">
        <w:rPr>
          <w:rtl w:val="0"/>
        </w:rPr>
        <w:t xml:space="preserve"> Ministru kabineta noteikumi;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color w:val="222222"/>
          <w:rtl w:val="0"/>
        </w:rPr>
        <w:t xml:space="preserve">94 419</w:t>
      </w:r>
      <w:r w:rsidDel="00000000" w:rsidR="00000000" w:rsidRPr="00000000">
        <w:rPr>
          <w:rtl w:val="0"/>
        </w:rPr>
        <w:t xml:space="preserve"> oficiālie paziņojumi (izsoles, mantojumu ziņas, privatizācijas ziņas, paziņojumi kreditoriem, vēstis par laulāto mantiskajām attiecībām u.c.), no tiem, piemēram, </w:t>
      </w:r>
      <w:r w:rsidDel="00000000" w:rsidR="00000000" w:rsidRPr="00000000">
        <w:rPr>
          <w:color w:val="222222"/>
          <w:highlight w:val="white"/>
          <w:rtl w:val="0"/>
        </w:rPr>
        <w:t xml:space="preserve">Komercreģistra ieraksti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color w:val="222222"/>
          <w:rtl w:val="0"/>
        </w:rPr>
        <w:t xml:space="preserve">66 524</w:t>
      </w:r>
      <w:r w:rsidDel="00000000" w:rsidR="00000000" w:rsidRPr="00000000">
        <w:rPr>
          <w:color w:val="222222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hd w:fill="f9cb9c" w:val="clear"/>
        </w:rPr>
      </w:pPr>
      <w:r w:rsidDel="00000000" w:rsidR="00000000" w:rsidRPr="00000000">
        <w:rPr>
          <w:b w:val="1"/>
          <w:rtl w:val="0"/>
        </w:rPr>
        <w:t xml:space="preserve">Jaunie tiesību akti vietnē likumi.lv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hd w:fill="f9cb9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Visi likumi u. c. tiesību akti, kas stājas spēkā vai zaudē spēku 2020. gada 1. janvārī, apkopoti vietnē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Likumi.lv</w:t>
        </w:r>
      </w:hyperlink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atverot sadaļu “Jaunākie” → izvēloties datumu 01.01.2020.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Stājas spēkā: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https://likumi.lv/ta/jaunakie/stajas-speka/2020/01/01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Zaudē spēku: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https://likumi.lv/ta/jaunakie/zaude-speku/2020/01/01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Skaidrojumi par izmaiņām LV portālā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Turpinot vairāku gadu iedibināto tradīciju, LV portālā lasītājiem ir pieejama</w:t>
      </w:r>
      <w:hyperlink r:id="rId13">
        <w:r w:rsidDel="00000000" w:rsidR="00000000" w:rsidRPr="00000000">
          <w:rPr>
            <w:rtl w:val="0"/>
          </w:rPr>
          <w:t xml:space="preserve"> </w:t>
        </w:r>
      </w:hyperlink>
      <w:hyperlink r:id="rId14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tematiskā sadaļa #spēkāno2020</w:t>
        </w:r>
      </w:hyperlink>
      <w:r w:rsidDel="00000000" w:rsidR="00000000" w:rsidRPr="00000000">
        <w:rPr>
          <w:rtl w:val="0"/>
        </w:rPr>
        <w:t xml:space="preserve">. Tajā līdz pat janvāra beigām regulāri papildināsies publikāciju skaits ar jauniem skaidrojumiem par tiesību aktiem un to izmaiņām.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LV portāla skaidrojumi: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https://lvportals.lv/temats/speka-no-2020-gada-janvara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keepNext w:val="0"/>
        <w:keepLines w:val="0"/>
        <w:shd w:fill="ffffff" w:val="clear"/>
        <w:spacing w:after="220" w:before="460" w:line="240" w:lineRule="auto"/>
        <w:rPr>
          <w:b w:val="1"/>
          <w:sz w:val="18"/>
          <w:szCs w:val="18"/>
        </w:rPr>
      </w:pPr>
      <w:bookmarkStart w:colFirst="0" w:colLast="0" w:name="_mh57hywh7jlf" w:id="1"/>
      <w:bookmarkEnd w:id="1"/>
      <w:r w:rsidDel="00000000" w:rsidR="00000000" w:rsidRPr="00000000">
        <w:rPr>
          <w:b w:val="1"/>
          <w:sz w:val="18"/>
          <w:szCs w:val="18"/>
          <w:rtl w:val="0"/>
        </w:rPr>
        <w:t xml:space="preserve">Par oficiālo izdevēju “Latvijas Vēstnesis”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Oficiālais izdevējs “Latvijas Vēstnesis” ir valsts, pilsoniskās un tiesiskās informācijas platforma. “Latvijas Vēstnesis” nodrošina - oficiālo publikāciju (vestnesis.lv), tiesību aktu pieejamību (likumi.lv), to skaidrošanu (lvportals.lv) un diskusiju tiesiskai domai un praksei (žurnāls “Jurista Vārds”, juristavards.lv).</w:t>
      </w:r>
    </w:p>
    <w:p w:rsidR="00000000" w:rsidDel="00000000" w:rsidP="00000000" w:rsidRDefault="00000000" w:rsidRPr="00000000" w14:paraId="00000023">
      <w:pPr>
        <w:spacing w:line="240" w:lineRule="auto"/>
        <w:ind w:right="-340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right="-340" w:firstLine="360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Papildinformācijai:</w:t>
      </w:r>
    </w:p>
    <w:p w:rsidR="00000000" w:rsidDel="00000000" w:rsidP="00000000" w:rsidRDefault="00000000" w:rsidRPr="00000000" w14:paraId="00000025">
      <w:pPr>
        <w:spacing w:line="240" w:lineRule="auto"/>
        <w:ind w:right="-340"/>
        <w:jc w:val="righ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Kellija Dadzīte </w:t>
      </w:r>
    </w:p>
    <w:p w:rsidR="00000000" w:rsidDel="00000000" w:rsidP="00000000" w:rsidRDefault="00000000" w:rsidRPr="00000000" w14:paraId="00000026">
      <w:pPr>
        <w:spacing w:line="240" w:lineRule="auto"/>
        <w:ind w:right="-340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Oficiālā izdevēja “Latvijas Vēstnesis”</w:t>
      </w:r>
    </w:p>
    <w:p w:rsidR="00000000" w:rsidDel="00000000" w:rsidP="00000000" w:rsidRDefault="00000000" w:rsidRPr="00000000" w14:paraId="00000027">
      <w:pPr>
        <w:spacing w:line="240" w:lineRule="auto"/>
        <w:ind w:right="-340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Sabiedrisko attiecību speciāliste</w:t>
      </w:r>
    </w:p>
    <w:p w:rsidR="00000000" w:rsidDel="00000000" w:rsidP="00000000" w:rsidRDefault="00000000" w:rsidRPr="00000000" w14:paraId="00000028">
      <w:pPr>
        <w:spacing w:line="240" w:lineRule="auto"/>
        <w:ind w:right="-340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T.: +371 </w:t>
        <w:tab/>
        <w:t xml:space="preserve">67310675</w:t>
      </w:r>
    </w:p>
    <w:p w:rsidR="00000000" w:rsidDel="00000000" w:rsidP="00000000" w:rsidRDefault="00000000" w:rsidRPr="00000000" w14:paraId="00000029">
      <w:pPr>
        <w:spacing w:line="240" w:lineRule="auto"/>
        <w:ind w:right="-340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Mob.: +371 22113792</w:t>
      </w:r>
    </w:p>
    <w:p w:rsidR="00000000" w:rsidDel="00000000" w:rsidP="00000000" w:rsidRDefault="00000000" w:rsidRPr="00000000" w14:paraId="0000002A">
      <w:pPr>
        <w:spacing w:line="240" w:lineRule="auto"/>
        <w:ind w:right="-340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kellija.dadzite@lv.lv</w:t>
      </w:r>
    </w:p>
    <w:p w:rsidR="00000000" w:rsidDel="00000000" w:rsidP="00000000" w:rsidRDefault="00000000" w:rsidRPr="00000000" w14:paraId="0000002B">
      <w:pPr>
        <w:spacing w:line="240" w:lineRule="auto"/>
        <w:ind w:right="-340"/>
        <w:jc w:val="right"/>
        <w:rPr>
          <w:sz w:val="18"/>
          <w:szCs w:val="18"/>
        </w:rPr>
      </w:pPr>
      <w:hyperlink r:id="rId16">
        <w:r w:rsidDel="00000000" w:rsidR="00000000" w:rsidRPr="00000000">
          <w:rPr>
            <w:sz w:val="18"/>
            <w:szCs w:val="18"/>
            <w:u w:val="single"/>
            <w:rtl w:val="0"/>
          </w:rPr>
          <w:t xml:space="preserve">www.lv.lv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="240" w:lineRule="auto"/>
        <w:ind w:right="-335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likumi.lv/ta/jaunakie/stajas-speka/2020/01/01" TargetMode="External"/><Relationship Id="rId10" Type="http://schemas.openxmlformats.org/officeDocument/2006/relationships/hyperlink" Target="https://likumi.lv/" TargetMode="External"/><Relationship Id="rId13" Type="http://schemas.openxmlformats.org/officeDocument/2006/relationships/hyperlink" Target="https://lvportals.lv/temats/speka-no-2020-gada-janvara" TargetMode="External"/><Relationship Id="rId12" Type="http://schemas.openxmlformats.org/officeDocument/2006/relationships/hyperlink" Target="https://likumi.lv/ta/jaunakie/zaude-speku/2020/01/0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ikumi.lv/" TargetMode="External"/><Relationship Id="rId15" Type="http://schemas.openxmlformats.org/officeDocument/2006/relationships/hyperlink" Target="https://lvportals.lv/temats/speka-no-2020-gada-janvara" TargetMode="External"/><Relationship Id="rId14" Type="http://schemas.openxmlformats.org/officeDocument/2006/relationships/hyperlink" Target="https://lvportals.lv/temats/speka-no-2020-gada-janvara" TargetMode="External"/><Relationship Id="rId16" Type="http://schemas.openxmlformats.org/officeDocument/2006/relationships/hyperlink" Target="http://www.lv.lv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vestnesis.lv/" TargetMode="External"/><Relationship Id="rId8" Type="http://schemas.openxmlformats.org/officeDocument/2006/relationships/hyperlink" Target="https://www.vestnesis.lv/laidiens/2019/12/30/nr/259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