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9E0" w:rsidRDefault="00E449E0" w:rsidP="00E449E0">
      <w:pPr>
        <w:jc w:val="center"/>
        <w:rPr>
          <w:rFonts w:ascii="Times New Roman" w:hAnsi="Times New Roman" w:cs="Times New Roman"/>
          <w:b/>
          <w:sz w:val="28"/>
          <w:szCs w:val="28"/>
        </w:rPr>
      </w:pPr>
      <w:r w:rsidRPr="00DB0FAD">
        <w:rPr>
          <w:rFonts w:ascii="Times New Roman" w:hAnsi="Times New Roman" w:cs="Times New Roman"/>
          <w:b/>
          <w:sz w:val="28"/>
          <w:szCs w:val="28"/>
        </w:rPr>
        <w:t xml:space="preserve">Paskaidrojuma raksts Saistošajiem noteikumiem “Par līdzfinansējuma samaksas kārtību izglītības programmu ieguvei Dundagas </w:t>
      </w:r>
      <w:r w:rsidR="00B15B79">
        <w:rPr>
          <w:rFonts w:ascii="Times New Roman" w:hAnsi="Times New Roman" w:cs="Times New Roman"/>
          <w:b/>
          <w:sz w:val="28"/>
          <w:szCs w:val="28"/>
        </w:rPr>
        <w:t>M</w:t>
      </w:r>
      <w:r w:rsidRPr="00DB0FAD">
        <w:rPr>
          <w:rFonts w:ascii="Times New Roman" w:hAnsi="Times New Roman" w:cs="Times New Roman"/>
          <w:b/>
          <w:sz w:val="28"/>
          <w:szCs w:val="28"/>
        </w:rPr>
        <w:t>ākslas un mūzikas skolā</w:t>
      </w:r>
    </w:p>
    <w:tbl>
      <w:tblPr>
        <w:tblStyle w:val="Reatabula"/>
        <w:tblW w:w="0" w:type="auto"/>
        <w:tblLook w:val="04A0" w:firstRow="1" w:lastRow="0" w:firstColumn="1" w:lastColumn="0" w:noHBand="0" w:noVBand="1"/>
      </w:tblPr>
      <w:tblGrid>
        <w:gridCol w:w="421"/>
        <w:gridCol w:w="2268"/>
        <w:gridCol w:w="7767"/>
      </w:tblGrid>
      <w:tr w:rsidR="00E449E0" w:rsidTr="00E449E0">
        <w:tc>
          <w:tcPr>
            <w:tcW w:w="421" w:type="dxa"/>
          </w:tcPr>
          <w:p w:rsidR="00E449E0" w:rsidRDefault="00E449E0" w:rsidP="00E449E0">
            <w:r>
              <w:t>1.</w:t>
            </w:r>
          </w:p>
        </w:tc>
        <w:tc>
          <w:tcPr>
            <w:tcW w:w="2268" w:type="dxa"/>
          </w:tcPr>
          <w:p w:rsidR="00E449E0" w:rsidRPr="0024058F" w:rsidRDefault="00E449E0" w:rsidP="00E449E0">
            <w:pPr>
              <w:pStyle w:val="Sarakstarindkopa"/>
              <w:ind w:left="0"/>
              <w:rPr>
                <w:rFonts w:ascii="Times New Roman" w:hAnsi="Times New Roman" w:cs="Times New Roman"/>
                <w:sz w:val="20"/>
                <w:szCs w:val="20"/>
              </w:rPr>
            </w:pPr>
            <w:r w:rsidRPr="0024058F">
              <w:rPr>
                <w:rFonts w:ascii="Times New Roman" w:hAnsi="Times New Roman" w:cs="Times New Roman"/>
                <w:sz w:val="20"/>
                <w:szCs w:val="20"/>
              </w:rPr>
              <w:t xml:space="preserve">Projekta nepieciešamības </w:t>
            </w:r>
          </w:p>
          <w:p w:rsidR="00E449E0" w:rsidRPr="0024058F" w:rsidRDefault="00E449E0" w:rsidP="00E449E0">
            <w:pPr>
              <w:rPr>
                <w:sz w:val="20"/>
                <w:szCs w:val="20"/>
              </w:rPr>
            </w:pPr>
            <w:r w:rsidRPr="0024058F">
              <w:rPr>
                <w:rFonts w:ascii="Times New Roman" w:hAnsi="Times New Roman" w:cs="Times New Roman"/>
                <w:sz w:val="20"/>
                <w:szCs w:val="20"/>
              </w:rPr>
              <w:t>pamatojums</w:t>
            </w:r>
          </w:p>
        </w:tc>
        <w:tc>
          <w:tcPr>
            <w:tcW w:w="7767" w:type="dxa"/>
          </w:tcPr>
          <w:p w:rsidR="00F53503" w:rsidRPr="0024058F" w:rsidRDefault="00E449E0" w:rsidP="00E449E0">
            <w:pPr>
              <w:jc w:val="both"/>
              <w:rPr>
                <w:rFonts w:ascii="Times New Roman" w:hAnsi="Times New Roman" w:cs="Times New Roman"/>
                <w:sz w:val="20"/>
                <w:szCs w:val="20"/>
              </w:rPr>
            </w:pPr>
            <w:r w:rsidRPr="0024058F">
              <w:rPr>
                <w:rFonts w:ascii="Times New Roman" w:hAnsi="Times New Roman" w:cs="Times New Roman"/>
                <w:sz w:val="20"/>
                <w:szCs w:val="20"/>
              </w:rPr>
              <w:t xml:space="preserve">Lai aktualizētu esošo kārtību, kādā tiek maksāts Līdzfinansējums par profesionālās ievirzes izglītības un interešu izglītības ieguvi Dundagas novada pašvaldības dibinātajā profesionālās ievirzes izglītības iestādē – Dundagas </w:t>
            </w:r>
            <w:r w:rsidR="006B0F5F">
              <w:rPr>
                <w:rFonts w:ascii="Times New Roman" w:hAnsi="Times New Roman" w:cs="Times New Roman"/>
                <w:sz w:val="20"/>
                <w:szCs w:val="20"/>
              </w:rPr>
              <w:t>M</w:t>
            </w:r>
            <w:r w:rsidRPr="0024058F">
              <w:rPr>
                <w:rFonts w:ascii="Times New Roman" w:hAnsi="Times New Roman" w:cs="Times New Roman"/>
                <w:sz w:val="20"/>
                <w:szCs w:val="20"/>
              </w:rPr>
              <w:t xml:space="preserve">ākslas un mūzikas skolā, nepieciešams grozīt Dundagas novada pašvaldības 2016. gada 28. janvāra Saistošos noteikumus Nr.2 “Par līdzfinansējuma samaksas kārtību Dundagas Mākslas un mūzikas skolā”. Ņemot vērā, ka grozāmo normu apjoms pārsniedz vairāk nekā pusi no spēkā esošo noteikumu normu apjoma un, ievērojot Izglītības likuma 12. panta otro </w:t>
            </w:r>
            <w:proofErr w:type="spellStart"/>
            <w:r w:rsidRPr="0024058F">
              <w:rPr>
                <w:rFonts w:ascii="Times New Roman" w:hAnsi="Times New Roman" w:cs="Times New Roman"/>
                <w:sz w:val="20"/>
                <w:szCs w:val="20"/>
              </w:rPr>
              <w:t>prim</w:t>
            </w:r>
            <w:proofErr w:type="spellEnd"/>
            <w:r w:rsidRPr="0024058F">
              <w:rPr>
                <w:rFonts w:ascii="Times New Roman" w:hAnsi="Times New Roman" w:cs="Times New Roman"/>
                <w:sz w:val="20"/>
                <w:szCs w:val="20"/>
              </w:rPr>
              <w:t xml:space="preserve"> daļu, 46. panta sestās daļas 3. punktu,  likuma “Par pašvaldībām” 43. panta pirmās daļas 13. punktu, Ministru kabineta 28.08.2001. noteikuma nr.382 “Interešu izglītības programmu finansēšanas kārtība” 2. punktu, Saistošie noteikumi izdodami jaunā redakcijā.</w:t>
            </w:r>
          </w:p>
          <w:p w:rsidR="00F53503" w:rsidRPr="0024058F" w:rsidRDefault="00F53503" w:rsidP="00E449E0">
            <w:pPr>
              <w:jc w:val="both"/>
              <w:rPr>
                <w:rFonts w:ascii="Times New Roman" w:hAnsi="Times New Roman" w:cs="Times New Roman"/>
                <w:sz w:val="20"/>
                <w:szCs w:val="20"/>
              </w:rPr>
            </w:pPr>
            <w:r w:rsidRPr="0024058F">
              <w:rPr>
                <w:rFonts w:ascii="Times New Roman" w:hAnsi="Times New Roman" w:cs="Times New Roman"/>
                <w:sz w:val="20"/>
                <w:szCs w:val="20"/>
              </w:rPr>
              <w:t>Saistošo noteikumu izdošanas mērķis ir nodrošināt kvalitatīvu profesionālās ievirzes un interešu izglītības programmu izglītības procesu, kā arī veicināt izglītības pieejamību mākslā, mūzikā un dejā.</w:t>
            </w:r>
          </w:p>
        </w:tc>
      </w:tr>
      <w:tr w:rsidR="00E449E0" w:rsidTr="00E449E0">
        <w:tc>
          <w:tcPr>
            <w:tcW w:w="421" w:type="dxa"/>
          </w:tcPr>
          <w:p w:rsidR="00E449E0" w:rsidRDefault="00E449E0" w:rsidP="00E449E0">
            <w:r>
              <w:t>2.</w:t>
            </w:r>
          </w:p>
        </w:tc>
        <w:tc>
          <w:tcPr>
            <w:tcW w:w="2268" w:type="dxa"/>
          </w:tcPr>
          <w:p w:rsidR="00E449E0" w:rsidRPr="0024058F" w:rsidRDefault="00F53503" w:rsidP="00E449E0">
            <w:pPr>
              <w:rPr>
                <w:sz w:val="20"/>
                <w:szCs w:val="20"/>
              </w:rPr>
            </w:pPr>
            <w:r w:rsidRPr="0024058F">
              <w:rPr>
                <w:sz w:val="20"/>
                <w:szCs w:val="20"/>
              </w:rPr>
              <w:t>Īss projekta satura izklāsts</w:t>
            </w:r>
          </w:p>
        </w:tc>
        <w:tc>
          <w:tcPr>
            <w:tcW w:w="7767" w:type="dxa"/>
          </w:tcPr>
          <w:p w:rsidR="0013622F" w:rsidRPr="0024058F" w:rsidRDefault="00F53503" w:rsidP="00E449E0">
            <w:pPr>
              <w:rPr>
                <w:sz w:val="20"/>
                <w:szCs w:val="20"/>
              </w:rPr>
            </w:pPr>
            <w:r w:rsidRPr="0024058F">
              <w:rPr>
                <w:sz w:val="20"/>
                <w:szCs w:val="20"/>
              </w:rPr>
              <w:t>Saistošie noteikumi nosaka kārtību, kādā tiek maksāts Līdzfinansējums par profesionālās ievirzes</w:t>
            </w:r>
            <w:r w:rsidR="0013622F" w:rsidRPr="0024058F">
              <w:rPr>
                <w:sz w:val="20"/>
                <w:szCs w:val="20"/>
              </w:rPr>
              <w:t xml:space="preserve"> izglītības un interešu izglītības ieguvi Dundagas novada pašvaldības dibinātajā profesionālās ievirzes izglītības iestādē - Dundagas </w:t>
            </w:r>
            <w:r w:rsidR="00C77D78">
              <w:rPr>
                <w:sz w:val="20"/>
                <w:szCs w:val="20"/>
              </w:rPr>
              <w:t>M</w:t>
            </w:r>
            <w:r w:rsidR="0013622F" w:rsidRPr="0024058F">
              <w:rPr>
                <w:sz w:val="20"/>
                <w:szCs w:val="20"/>
              </w:rPr>
              <w:t xml:space="preserve">ākslas un mūzikas skolā. </w:t>
            </w:r>
          </w:p>
          <w:p w:rsidR="00E449E0" w:rsidRPr="0024058F" w:rsidRDefault="0013622F" w:rsidP="00E449E0">
            <w:pPr>
              <w:rPr>
                <w:sz w:val="20"/>
                <w:szCs w:val="20"/>
              </w:rPr>
            </w:pPr>
            <w:r w:rsidRPr="0024058F">
              <w:rPr>
                <w:sz w:val="20"/>
                <w:szCs w:val="20"/>
              </w:rPr>
              <w:t>Saistošie noteikumu II daļa paredz kārtību, kādā tiek noteikts līdzfinansējums, tā apmērs, pilnīgs vai daļējs atbrīvojums no Vecāku līdzfinansējuma.</w:t>
            </w:r>
          </w:p>
          <w:p w:rsidR="0013622F" w:rsidRPr="0024058F" w:rsidRDefault="0013622F" w:rsidP="00E449E0">
            <w:pPr>
              <w:rPr>
                <w:sz w:val="20"/>
                <w:szCs w:val="20"/>
              </w:rPr>
            </w:pPr>
            <w:r w:rsidRPr="0024058F">
              <w:rPr>
                <w:sz w:val="20"/>
                <w:szCs w:val="20"/>
              </w:rPr>
              <w:t>Saistošo noteikumu III daļa nosaka Līdzfinansējuma iemaksas kārtību un termiņus.</w:t>
            </w:r>
          </w:p>
        </w:tc>
      </w:tr>
      <w:tr w:rsidR="00E449E0" w:rsidTr="00E449E0">
        <w:tc>
          <w:tcPr>
            <w:tcW w:w="421" w:type="dxa"/>
          </w:tcPr>
          <w:p w:rsidR="00E449E0" w:rsidRDefault="0013622F" w:rsidP="00E449E0">
            <w:r>
              <w:t>3.</w:t>
            </w:r>
          </w:p>
        </w:tc>
        <w:tc>
          <w:tcPr>
            <w:tcW w:w="2268" w:type="dxa"/>
          </w:tcPr>
          <w:p w:rsidR="00E449E0" w:rsidRPr="0024058F" w:rsidRDefault="0013622F" w:rsidP="00E449E0">
            <w:pPr>
              <w:rPr>
                <w:sz w:val="20"/>
                <w:szCs w:val="20"/>
              </w:rPr>
            </w:pPr>
            <w:r w:rsidRPr="0024058F">
              <w:rPr>
                <w:sz w:val="20"/>
                <w:szCs w:val="20"/>
              </w:rPr>
              <w:t>Informācija par plānoto projekta ietekmi uz pašvaldības budžetu.</w:t>
            </w:r>
          </w:p>
        </w:tc>
        <w:tc>
          <w:tcPr>
            <w:tcW w:w="7767" w:type="dxa"/>
          </w:tcPr>
          <w:p w:rsidR="00E449E0" w:rsidRPr="0024058F" w:rsidRDefault="00F8057C" w:rsidP="00E449E0">
            <w:pPr>
              <w:rPr>
                <w:sz w:val="20"/>
                <w:szCs w:val="20"/>
              </w:rPr>
            </w:pPr>
            <w:r w:rsidRPr="0024058F">
              <w:rPr>
                <w:sz w:val="20"/>
                <w:szCs w:val="20"/>
              </w:rPr>
              <w:t>Līdzfinansējums samazinās pašvaldības budžeta izdevumus Dundagas mākslas un mūzikas skolas nodarbībām nepieciešamo mācību līdzekļu, materiālu un aprīkojuma iegādei, konkursu, izstāžu, koncertu, meistarklašu organizēšanai, dalībai valsts un starptautiskajos konkursos, festivālos, koncertos, izstādēs un meistarklasēs, pedagogu darba algām un valsts sociālās apdrošināšanas obligātajām iemaksām</w:t>
            </w:r>
            <w:r w:rsidR="0024058F" w:rsidRPr="0024058F">
              <w:rPr>
                <w:sz w:val="20"/>
                <w:szCs w:val="20"/>
              </w:rPr>
              <w:t xml:space="preserve"> par darbu pieaugušo neformālās izglītības programmu realizēšanā</w:t>
            </w:r>
            <w:r w:rsidRPr="0024058F">
              <w:rPr>
                <w:sz w:val="20"/>
                <w:szCs w:val="20"/>
              </w:rPr>
              <w:t>, pedagogu profesionālās kvalifikācijas pilnveidei.</w:t>
            </w:r>
          </w:p>
          <w:p w:rsidR="00F8057C" w:rsidRPr="0024058F" w:rsidRDefault="00F8057C" w:rsidP="00E449E0">
            <w:pPr>
              <w:rPr>
                <w:sz w:val="20"/>
                <w:szCs w:val="20"/>
              </w:rPr>
            </w:pPr>
            <w:r w:rsidRPr="0024058F">
              <w:rPr>
                <w:sz w:val="20"/>
                <w:szCs w:val="20"/>
              </w:rPr>
              <w:t>Saistošo noteikumu izpildes nodrošināšanai nav nepieciešams veidot jaunas pašvaldības institūcijas, darbavietas.</w:t>
            </w:r>
          </w:p>
          <w:p w:rsidR="00E46305" w:rsidRPr="0024058F" w:rsidRDefault="00E46305" w:rsidP="00E46305">
            <w:pPr>
              <w:pStyle w:val="Sarakstarindkopa"/>
              <w:numPr>
                <w:ilvl w:val="0"/>
                <w:numId w:val="2"/>
              </w:numPr>
              <w:rPr>
                <w:sz w:val="20"/>
                <w:szCs w:val="20"/>
              </w:rPr>
            </w:pPr>
            <w:r w:rsidRPr="0024058F">
              <w:rPr>
                <w:sz w:val="20"/>
                <w:szCs w:val="20"/>
              </w:rPr>
              <w:t>Pie līdzšinējās Līdzfinansējuma samaksas kārtības</w:t>
            </w:r>
            <w:r w:rsidR="006B0F5F">
              <w:rPr>
                <w:sz w:val="20"/>
                <w:szCs w:val="20"/>
              </w:rPr>
              <w:t>, (ar esošajiem Līdzfinansējuma atvieglojumiem)</w:t>
            </w:r>
            <w:r w:rsidRPr="0024058F">
              <w:rPr>
                <w:sz w:val="20"/>
                <w:szCs w:val="20"/>
              </w:rPr>
              <w:t xml:space="preserve"> veidojas šādi ienākumi: 183 izglītojamie</w:t>
            </w:r>
            <w:r w:rsidR="008D29CC" w:rsidRPr="0024058F">
              <w:rPr>
                <w:sz w:val="20"/>
                <w:szCs w:val="20"/>
              </w:rPr>
              <w:t>,</w:t>
            </w:r>
            <w:r w:rsidRPr="0024058F">
              <w:rPr>
                <w:sz w:val="20"/>
                <w:szCs w:val="20"/>
              </w:rPr>
              <w:t xml:space="preserve"> </w:t>
            </w:r>
            <w:r w:rsidR="008D29CC" w:rsidRPr="0024058F">
              <w:rPr>
                <w:sz w:val="20"/>
                <w:szCs w:val="20"/>
              </w:rPr>
              <w:t xml:space="preserve">Līdzfinansējuma iemaksas 1650,00 EUR mēnesī jeb 14850,00 EUR gadā. Uz 183 izglītojamajiem plānotas Līdzfinansējuma iemaksas 1976,00 EUR mēnesī jeb 17784,00 EUR gadā. </w:t>
            </w:r>
            <w:r w:rsidR="00AC0025">
              <w:rPr>
                <w:sz w:val="20"/>
                <w:szCs w:val="20"/>
              </w:rPr>
              <w:t>Salīdzinoši - i</w:t>
            </w:r>
            <w:r w:rsidR="008D29CC" w:rsidRPr="0024058F">
              <w:rPr>
                <w:sz w:val="20"/>
                <w:szCs w:val="20"/>
              </w:rPr>
              <w:t xml:space="preserve">eguvums par 326,00 EUR </w:t>
            </w:r>
            <w:r w:rsidR="00AC0025">
              <w:rPr>
                <w:sz w:val="20"/>
                <w:szCs w:val="20"/>
              </w:rPr>
              <w:t xml:space="preserve">vairāk </w:t>
            </w:r>
            <w:r w:rsidR="008D29CC" w:rsidRPr="0024058F">
              <w:rPr>
                <w:sz w:val="20"/>
                <w:szCs w:val="20"/>
              </w:rPr>
              <w:t>mēnesī jeb 2934,00 EUR gadā</w:t>
            </w:r>
            <w:r w:rsidR="00AC0025">
              <w:rPr>
                <w:sz w:val="20"/>
                <w:szCs w:val="20"/>
              </w:rPr>
              <w:t>, nekā šobrīd.</w:t>
            </w:r>
          </w:p>
          <w:p w:rsidR="008D29CC" w:rsidRPr="0024058F" w:rsidRDefault="00526325" w:rsidP="00526325">
            <w:pPr>
              <w:rPr>
                <w:sz w:val="20"/>
                <w:szCs w:val="20"/>
              </w:rPr>
            </w:pPr>
            <w:r w:rsidRPr="0024058F">
              <w:rPr>
                <w:sz w:val="20"/>
                <w:szCs w:val="20"/>
              </w:rPr>
              <w:t>Noteikumu 8.,9.,10. punktu ietekme:</w:t>
            </w:r>
          </w:p>
          <w:p w:rsidR="00526325" w:rsidRPr="0024058F" w:rsidRDefault="00526325" w:rsidP="00526325">
            <w:pPr>
              <w:pStyle w:val="Sarakstarindkopa"/>
              <w:numPr>
                <w:ilvl w:val="0"/>
                <w:numId w:val="2"/>
              </w:numPr>
              <w:rPr>
                <w:sz w:val="20"/>
                <w:szCs w:val="20"/>
              </w:rPr>
            </w:pPr>
            <w:r w:rsidRPr="0024058F">
              <w:rPr>
                <w:sz w:val="20"/>
                <w:szCs w:val="20"/>
              </w:rPr>
              <w:t>8.1.; 8.2.</w:t>
            </w:r>
            <w:r w:rsidR="0024058F" w:rsidRPr="0024058F">
              <w:rPr>
                <w:sz w:val="20"/>
                <w:szCs w:val="20"/>
              </w:rPr>
              <w:t>; 8.3.</w:t>
            </w:r>
            <w:r w:rsidR="00BA3D6A" w:rsidRPr="0024058F">
              <w:rPr>
                <w:sz w:val="20"/>
                <w:szCs w:val="20"/>
              </w:rPr>
              <w:t>;</w:t>
            </w:r>
            <w:r w:rsidR="0024058F" w:rsidRPr="0024058F">
              <w:rPr>
                <w:sz w:val="20"/>
                <w:szCs w:val="20"/>
              </w:rPr>
              <w:t xml:space="preserve"> </w:t>
            </w:r>
            <w:r w:rsidR="00BA3D6A" w:rsidRPr="0024058F">
              <w:rPr>
                <w:sz w:val="20"/>
                <w:szCs w:val="20"/>
              </w:rPr>
              <w:t xml:space="preserve">9. </w:t>
            </w:r>
            <w:r w:rsidRPr="0024058F">
              <w:rPr>
                <w:sz w:val="20"/>
                <w:szCs w:val="20"/>
              </w:rPr>
              <w:t xml:space="preserve">punktā minētās atlaides tiek piešķirtas vidēji </w:t>
            </w:r>
            <w:r w:rsidR="00BA3D6A" w:rsidRPr="0024058F">
              <w:rPr>
                <w:sz w:val="20"/>
                <w:szCs w:val="20"/>
              </w:rPr>
              <w:t>5</w:t>
            </w:r>
            <w:r w:rsidRPr="0024058F">
              <w:rPr>
                <w:sz w:val="20"/>
                <w:szCs w:val="20"/>
              </w:rPr>
              <w:t xml:space="preserve"> izglītojamajiem, kas kopumā sastāda </w:t>
            </w:r>
            <w:r w:rsidR="00BA3D6A" w:rsidRPr="0024058F">
              <w:rPr>
                <w:sz w:val="20"/>
                <w:szCs w:val="20"/>
              </w:rPr>
              <w:t>54</w:t>
            </w:r>
            <w:r w:rsidR="00756C07" w:rsidRPr="0024058F">
              <w:rPr>
                <w:sz w:val="20"/>
                <w:szCs w:val="20"/>
              </w:rPr>
              <w:t>,00</w:t>
            </w:r>
            <w:r w:rsidR="00BA3D6A" w:rsidRPr="0024058F">
              <w:rPr>
                <w:sz w:val="20"/>
                <w:szCs w:val="20"/>
              </w:rPr>
              <w:t xml:space="preserve"> EUR mēnesī jeb 486</w:t>
            </w:r>
            <w:r w:rsidR="00756C07" w:rsidRPr="0024058F">
              <w:rPr>
                <w:sz w:val="20"/>
                <w:szCs w:val="20"/>
              </w:rPr>
              <w:t>,00</w:t>
            </w:r>
            <w:r w:rsidR="00BA3D6A" w:rsidRPr="0024058F">
              <w:rPr>
                <w:sz w:val="20"/>
                <w:szCs w:val="20"/>
              </w:rPr>
              <w:t xml:space="preserve"> EUR gadā;</w:t>
            </w:r>
          </w:p>
          <w:p w:rsidR="00F8057C" w:rsidRPr="00AA7C96" w:rsidRDefault="00756C07" w:rsidP="00E449E0">
            <w:pPr>
              <w:pStyle w:val="Sarakstarindkopa"/>
              <w:numPr>
                <w:ilvl w:val="0"/>
                <w:numId w:val="2"/>
              </w:numPr>
              <w:rPr>
                <w:sz w:val="20"/>
                <w:szCs w:val="20"/>
              </w:rPr>
            </w:pPr>
            <w:r w:rsidRPr="0024058F">
              <w:rPr>
                <w:sz w:val="20"/>
                <w:szCs w:val="20"/>
              </w:rPr>
              <w:t>1</w:t>
            </w:r>
            <w:r w:rsidR="00AA7C96">
              <w:rPr>
                <w:sz w:val="20"/>
                <w:szCs w:val="20"/>
              </w:rPr>
              <w:t>0</w:t>
            </w:r>
            <w:r w:rsidRPr="0024058F">
              <w:rPr>
                <w:sz w:val="20"/>
                <w:szCs w:val="20"/>
              </w:rPr>
              <w:t xml:space="preserve">. punktā minētās atlaides tiek piešķirtas vidēji </w:t>
            </w:r>
            <w:r w:rsidR="0024058F" w:rsidRPr="0024058F">
              <w:rPr>
                <w:sz w:val="20"/>
                <w:szCs w:val="20"/>
              </w:rPr>
              <w:t>43 izglītojamiem, kas kopumā sastāda 258,00 EUR mēnesī jeb 2322,00 EUR gadā.</w:t>
            </w:r>
          </w:p>
        </w:tc>
      </w:tr>
      <w:tr w:rsidR="00E449E0" w:rsidTr="00E449E0">
        <w:tc>
          <w:tcPr>
            <w:tcW w:w="421" w:type="dxa"/>
          </w:tcPr>
          <w:p w:rsidR="00E449E0" w:rsidRDefault="0013622F" w:rsidP="00E449E0">
            <w:r>
              <w:t>4.</w:t>
            </w:r>
          </w:p>
        </w:tc>
        <w:tc>
          <w:tcPr>
            <w:tcW w:w="2268" w:type="dxa"/>
          </w:tcPr>
          <w:p w:rsidR="00E449E0" w:rsidRPr="0024058F" w:rsidRDefault="0013622F" w:rsidP="00E449E0">
            <w:pPr>
              <w:rPr>
                <w:sz w:val="20"/>
                <w:szCs w:val="20"/>
              </w:rPr>
            </w:pPr>
            <w:r w:rsidRPr="0024058F">
              <w:rPr>
                <w:sz w:val="20"/>
                <w:szCs w:val="20"/>
              </w:rPr>
              <w:t>Informācija par plānoto projekta ietekmi uz uzņēmējdarbības vi</w:t>
            </w:r>
            <w:r w:rsidR="006B0F5F">
              <w:rPr>
                <w:sz w:val="20"/>
                <w:szCs w:val="20"/>
              </w:rPr>
              <w:t>d</w:t>
            </w:r>
            <w:r w:rsidRPr="0024058F">
              <w:rPr>
                <w:sz w:val="20"/>
                <w:szCs w:val="20"/>
              </w:rPr>
              <w:t>i pašvaldības teritorijā</w:t>
            </w:r>
          </w:p>
        </w:tc>
        <w:tc>
          <w:tcPr>
            <w:tcW w:w="7767" w:type="dxa"/>
          </w:tcPr>
          <w:p w:rsidR="00E449E0" w:rsidRPr="0024058F" w:rsidRDefault="0013622F" w:rsidP="00E449E0">
            <w:pPr>
              <w:rPr>
                <w:sz w:val="20"/>
                <w:szCs w:val="20"/>
              </w:rPr>
            </w:pPr>
            <w:r w:rsidRPr="0024058F">
              <w:rPr>
                <w:sz w:val="20"/>
                <w:szCs w:val="20"/>
              </w:rPr>
              <w:t>Uzņēmējdarbības vidi lēmums neietekmē, jo Saistošie noteikumi attiecas uz profesionālās ievirzes izglītības</w:t>
            </w:r>
            <w:r w:rsidR="00A347CD">
              <w:rPr>
                <w:sz w:val="20"/>
                <w:szCs w:val="20"/>
              </w:rPr>
              <w:t>,</w:t>
            </w:r>
            <w:r w:rsidRPr="0024058F">
              <w:rPr>
                <w:sz w:val="20"/>
                <w:szCs w:val="20"/>
              </w:rPr>
              <w:t xml:space="preserve"> interešu izglītības programmu</w:t>
            </w:r>
            <w:r w:rsidR="002B1C9C">
              <w:rPr>
                <w:sz w:val="20"/>
                <w:szCs w:val="20"/>
              </w:rPr>
              <w:t xml:space="preserve"> un pieaugušo neformālās izglītības programmas</w:t>
            </w:r>
            <w:r w:rsidRPr="0024058F">
              <w:rPr>
                <w:sz w:val="20"/>
                <w:szCs w:val="20"/>
              </w:rPr>
              <w:t xml:space="preserve"> apguvi</w:t>
            </w:r>
            <w:r w:rsidR="00654641" w:rsidRPr="0024058F">
              <w:rPr>
                <w:sz w:val="20"/>
                <w:szCs w:val="20"/>
              </w:rPr>
              <w:t>.</w:t>
            </w:r>
          </w:p>
        </w:tc>
      </w:tr>
      <w:tr w:rsidR="00E449E0" w:rsidTr="00E449E0">
        <w:tc>
          <w:tcPr>
            <w:tcW w:w="421" w:type="dxa"/>
          </w:tcPr>
          <w:p w:rsidR="00E449E0" w:rsidRDefault="00654641" w:rsidP="00E449E0">
            <w:r>
              <w:t>5.</w:t>
            </w:r>
          </w:p>
        </w:tc>
        <w:tc>
          <w:tcPr>
            <w:tcW w:w="2268" w:type="dxa"/>
          </w:tcPr>
          <w:p w:rsidR="00E449E0" w:rsidRPr="0024058F" w:rsidRDefault="00654641" w:rsidP="00E449E0">
            <w:pPr>
              <w:rPr>
                <w:sz w:val="20"/>
                <w:szCs w:val="20"/>
              </w:rPr>
            </w:pPr>
            <w:r w:rsidRPr="0024058F">
              <w:rPr>
                <w:sz w:val="20"/>
                <w:szCs w:val="20"/>
              </w:rPr>
              <w:t>Informācija par administratīvajām procedūrām</w:t>
            </w:r>
          </w:p>
        </w:tc>
        <w:tc>
          <w:tcPr>
            <w:tcW w:w="7767" w:type="dxa"/>
          </w:tcPr>
          <w:p w:rsidR="00E449E0" w:rsidRPr="0024058F" w:rsidRDefault="00654641" w:rsidP="00E449E0">
            <w:pPr>
              <w:rPr>
                <w:sz w:val="20"/>
                <w:szCs w:val="20"/>
              </w:rPr>
            </w:pPr>
            <w:r w:rsidRPr="0024058F">
              <w:rPr>
                <w:sz w:val="20"/>
                <w:szCs w:val="20"/>
              </w:rPr>
              <w:t>Saistošo noteikumu tiesiskais regulējums attiecināms uz iedzīvotājiem, kuri vēlas izglītot savus bērnus profesionālās ievirzes izglītības iestādē, attiecināms uz iedzīvotājiem, kuri vēlas izglītoties pieaugušo neformālās izglītības programmā.</w:t>
            </w:r>
          </w:p>
        </w:tc>
      </w:tr>
      <w:tr w:rsidR="00E449E0" w:rsidTr="00E449E0">
        <w:tc>
          <w:tcPr>
            <w:tcW w:w="421" w:type="dxa"/>
          </w:tcPr>
          <w:p w:rsidR="00E449E0" w:rsidRDefault="00654641" w:rsidP="00E449E0">
            <w:r>
              <w:t>6.</w:t>
            </w:r>
          </w:p>
        </w:tc>
        <w:tc>
          <w:tcPr>
            <w:tcW w:w="2268" w:type="dxa"/>
          </w:tcPr>
          <w:p w:rsidR="00E449E0" w:rsidRPr="0024058F" w:rsidRDefault="00654641" w:rsidP="00E449E0">
            <w:pPr>
              <w:rPr>
                <w:sz w:val="20"/>
                <w:szCs w:val="20"/>
              </w:rPr>
            </w:pPr>
            <w:r w:rsidRPr="0024058F">
              <w:rPr>
                <w:sz w:val="20"/>
                <w:szCs w:val="20"/>
              </w:rPr>
              <w:t>Informācija par konsultācijām ar privātpersonām</w:t>
            </w:r>
          </w:p>
        </w:tc>
        <w:tc>
          <w:tcPr>
            <w:tcW w:w="7767" w:type="dxa"/>
          </w:tcPr>
          <w:p w:rsidR="00E449E0" w:rsidRPr="0024058F" w:rsidRDefault="00A40713" w:rsidP="00E449E0">
            <w:pPr>
              <w:rPr>
                <w:sz w:val="20"/>
                <w:szCs w:val="20"/>
              </w:rPr>
            </w:pPr>
            <w:r>
              <w:rPr>
                <w:sz w:val="20"/>
                <w:szCs w:val="20"/>
              </w:rPr>
              <w:t>Noteikumi publicēti Dundagas novada pašvaldības interneta vietnē www.dundaga.lv.</w:t>
            </w:r>
            <w:bookmarkStart w:id="0" w:name="_GoBack"/>
            <w:bookmarkEnd w:id="0"/>
          </w:p>
        </w:tc>
      </w:tr>
    </w:tbl>
    <w:p w:rsidR="00943D99" w:rsidRDefault="00943D99"/>
    <w:p w:rsidR="005E3D56" w:rsidRDefault="005E3D56">
      <w:r>
        <w:t xml:space="preserve">Domes priekšsēdētājs                                                                                                                                                           A. </w:t>
      </w:r>
      <w:proofErr w:type="spellStart"/>
      <w:r>
        <w:t>Felts</w:t>
      </w:r>
      <w:proofErr w:type="spellEnd"/>
      <w:r>
        <w:t>.</w:t>
      </w:r>
    </w:p>
    <w:p w:rsidR="005E3D56" w:rsidRDefault="005E3D56" w:rsidP="005E3D56">
      <w:pPr>
        <w:spacing w:after="0"/>
        <w:rPr>
          <w:i/>
          <w:sz w:val="18"/>
          <w:szCs w:val="18"/>
        </w:rPr>
      </w:pPr>
      <w:r w:rsidRPr="005E3D56">
        <w:rPr>
          <w:i/>
          <w:sz w:val="18"/>
          <w:szCs w:val="18"/>
        </w:rPr>
        <w:t xml:space="preserve">Sagatavoja Dace </w:t>
      </w:r>
      <w:proofErr w:type="spellStart"/>
      <w:r w:rsidRPr="005E3D56">
        <w:rPr>
          <w:i/>
          <w:sz w:val="18"/>
          <w:szCs w:val="18"/>
        </w:rPr>
        <w:t>Čodera</w:t>
      </w:r>
      <w:proofErr w:type="spellEnd"/>
    </w:p>
    <w:p w:rsidR="005E3D56" w:rsidRPr="005E3D56" w:rsidRDefault="005E3D56" w:rsidP="005E3D56">
      <w:pPr>
        <w:spacing w:after="0"/>
        <w:rPr>
          <w:i/>
          <w:sz w:val="18"/>
          <w:szCs w:val="18"/>
        </w:rPr>
      </w:pPr>
      <w:r>
        <w:rPr>
          <w:i/>
          <w:sz w:val="18"/>
          <w:szCs w:val="18"/>
        </w:rPr>
        <w:t>29543665</w:t>
      </w:r>
    </w:p>
    <w:sectPr w:rsidR="005E3D56" w:rsidRPr="005E3D56" w:rsidSect="00E449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338B8"/>
    <w:multiLevelType w:val="hybridMultilevel"/>
    <w:tmpl w:val="00586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96746F1"/>
    <w:multiLevelType w:val="hybridMultilevel"/>
    <w:tmpl w:val="864EF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E0"/>
    <w:rsid w:val="0013622F"/>
    <w:rsid w:val="0024058F"/>
    <w:rsid w:val="002B1C9C"/>
    <w:rsid w:val="0043516E"/>
    <w:rsid w:val="00526325"/>
    <w:rsid w:val="005E3D56"/>
    <w:rsid w:val="00654641"/>
    <w:rsid w:val="006B0F5F"/>
    <w:rsid w:val="00756C07"/>
    <w:rsid w:val="008B54EA"/>
    <w:rsid w:val="008D29CC"/>
    <w:rsid w:val="00943D99"/>
    <w:rsid w:val="00A347CD"/>
    <w:rsid w:val="00A40713"/>
    <w:rsid w:val="00AA7C96"/>
    <w:rsid w:val="00AC0025"/>
    <w:rsid w:val="00B15B79"/>
    <w:rsid w:val="00BA3D6A"/>
    <w:rsid w:val="00C77D78"/>
    <w:rsid w:val="00E449E0"/>
    <w:rsid w:val="00E46305"/>
    <w:rsid w:val="00F53503"/>
    <w:rsid w:val="00F80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5ECB"/>
  <w15:chartTrackingRefBased/>
  <w15:docId w15:val="{27BCFE04-5DC0-4D6D-8EE4-78820719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449E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4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449E0"/>
    <w:pPr>
      <w:ind w:left="720"/>
      <w:contextualSpacing/>
    </w:pPr>
  </w:style>
  <w:style w:type="character" w:styleId="Hipersaite">
    <w:name w:val="Hyperlink"/>
    <w:basedOn w:val="Noklusjumarindkopasfonts"/>
    <w:uiPriority w:val="99"/>
    <w:unhideWhenUsed/>
    <w:rsid w:val="00654641"/>
    <w:rPr>
      <w:color w:val="0563C1" w:themeColor="hyperlink"/>
      <w:u w:val="single"/>
    </w:rPr>
  </w:style>
  <w:style w:type="character" w:styleId="Neatrisintapieminana">
    <w:name w:val="Unresolved Mention"/>
    <w:basedOn w:val="Noklusjumarindkopasfonts"/>
    <w:uiPriority w:val="99"/>
    <w:semiHidden/>
    <w:unhideWhenUsed/>
    <w:rsid w:val="00654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2585</Words>
  <Characters>1475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Dace</cp:lastModifiedBy>
  <cp:revision>12</cp:revision>
  <cp:lastPrinted>2019-02-14T14:06:00Z</cp:lastPrinted>
  <dcterms:created xsi:type="dcterms:W3CDTF">2019-01-08T10:37:00Z</dcterms:created>
  <dcterms:modified xsi:type="dcterms:W3CDTF">2019-03-01T10:59:00Z</dcterms:modified>
</cp:coreProperties>
</file>